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p/><w:p/><w:p><w:pPr><w:jc w:val="center"/></w:pPr><w:r><w:rPr><w:color w:val="1e3a5f"/><w:sz w:val="32"/><w:szCs w:val="32"/><w:b w:val="1"/><w:bCs w:val="1"/></w:rPr><w:t xml:space="preserve">KATHMANDU METROPOLITAN CITY</w:t></w:r></w:p><w:p><w:pPr><w:jc w:val="center"/></w:pPr><w:r><w:rPr><w:color w:val="64748b"/><w:sz w:val="24"/><w:szCs w:val="24"/></w:rPr><w:t xml:space="preserve">Environment Management Department</w:t></w:r></w:p><w:p/><w:p><w:pPr><w:jc w:val="center"/><w:spacing w:after="200"/></w:pPr><w:r><w:rPr><w:color w:val="1e3a5f"/><w:sz w:val="40"/><w:szCs w:val="40"/><w:b w:val="1"/><w:bCs w:val="1"/></w:rPr><w:t xml:space="preserve">CLUSTER 1 — COMPREHENSIVE WASTE MANAGEMENT SURVEY REPORT</w:t></w:r></w:p><w:p><w:pPr><w:jc w:val="center"/></w:pPr><w:r><w:rPr><w:color w:val="374151"/><w:sz w:val="24"/><w:szCs w:val="24"/></w:rPr><w:t xml:space="preserve">Wards: 2  |  3  |  4  |  5  |  7     ·     Kathmandu Metropolitan City</w:t></w:r></w:p><w:p><w:pPr><w:jc w:val="center"/></w:pPr><w:r><w:rPr><w:color w:val="64748b"/><w:sz w:val="22"/><w:szCs w:val="22"/></w:rPr><w:t xml:space="preserve">Report Generated: 07 March 2026</w:t></w:r></w:p><w:p/><w:p/><w:p><w:pPr><w:jc w:val="center"/></w:pPr><w:r><w:rPr><w:color w:val="dc2626"/><w:sz w:val="20"/><w:szCs w:val="20"/><w:b w:val="1"/><w:bCs w:val="1"/><w:i w:val="1"/><w:iCs w:val="1"/></w:rPr><w:t xml:space="preserve">STRICTLY CONFIDENTIAL — FOR INTERNAL KMC USE ONLY  |  Do not distribute externally</w:t></w:r></w:p><w:p><w:r><w:br w:type="page"/></w:r></w:p><w:p><w:pPr><w:pStyle w:val="Heading1"/></w:pPr><w:bookmarkStart w:id="0" w:name="_Toc0"/><w:r><w:t>Abbreviations</w:t></w:r><w:bookmarkEnd w:id="0"/></w:p><w:tbl><w:tblGrid><w:gridCol/><w:gridCol/></w:tblGrid><w:tblPr><w:tblStyle w:val="MainTable"/></w:tblPr><w:tr><w:trPr><w:trHeight w:val="400" w:hRule="atLeast"/></w:trPr><w:tc><w:tcPr><w:vAlign w:val="center"/><w:shd w:val="clear" w:fill="1e3a5f"/><w:noWrap/></w:tcPr><w:p><w:pPr><w:spacing w:after="0"/></w:pPr><w:r><w:rPr><w:color w:val="ffffff"/><w:sz w:val="20"/><w:szCs w:val="20"/><w:b w:val="1"/><w:bCs w:val="1"/></w:rPr><w:t xml:space="preserve">Abbreviation</w:t></w:r></w:p></w:tc><w:tc><w:tcPr><w:vAlign w:val="center"/><w:shd w:val="clear" w:fill="1e3a5f"/><w:noWrap/></w:tcPr><w:p><w:pPr><w:spacing w:after="0"/></w:pPr><w:r><w:rPr><w:color w:val="ffffff"/><w:sz w:val="20"/><w:szCs w:val="20"/><w:b w:val="1"/><w:bCs w:val="1"/></w:rPr><w:t xml:space="preserve">Full Form</w:t></w:r></w:p></w:tc></w:tr><w:tr><w:trPr/><w:tc><w:tcPr><w:vAlign w:val="center"/><w:noWrap/></w:tcPr><w:p><w:pPr><w:spacing w:after="0"/></w:pPr><w:r><w:rPr><w:sz w:val="20"/><w:szCs w:val="20"/><w:b w:val="0"/><w:bCs w:val="0"/></w:rPr><w:t xml:space="preserve">KMC</w:t></w:r></w:p></w:tc><w:tc><w:tcPr><w:vAlign w:val="center"/><w:noWrap/></w:tcPr><w:p><w:pPr><w:spacing w:after="0"/></w:pPr><w:r><w:rPr><w:sz w:val="20"/><w:szCs w:val="20"/><w:b w:val="0"/><w:bCs w:val="0"/></w:rPr><w:t xml:space="preserve">Kathmandu Metropolitan City</w:t></w:r></w:p></w:tc></w:tr><w:tr><w:trPr/><w:tc><w:tcPr><w:vAlign w:val="center"/><w:noWrap/></w:tcPr><w:p><w:pPr><w:spacing w:after="0"/></w:pPr><w:r><w:rPr><w:sz w:val="20"/><w:szCs w:val="20"/><w:b w:val="0"/><w:bCs w:val="0"/></w:rPr><w:t xml:space="preserve">GVP</w:t></w:r></w:p></w:tc><w:tc><w:tcPr><w:vAlign w:val="center"/><w:noWrap/></w:tcPr><w:p><w:pPr><w:spacing w:after="0"/></w:pPr><w:r><w:rPr><w:sz w:val="20"/><w:szCs w:val="20"/><w:b w:val="0"/><w:bCs w:val="0"/></w:rPr><w:t xml:space="preserve">Garbage Vulnerable Point</w:t></w:r></w:p></w:tc></w:tr><w:tr><w:trPr/><w:tc><w:tcPr><w:vAlign w:val="center"/><w:noWrap/></w:tcPr><w:p><w:pPr><w:spacing w:after="0"/></w:pPr><w:r><w:rPr><w:sz w:val="20"/><w:szCs w:val="20"/><w:b w:val="0"/><w:bCs w:val="0"/></w:rPr><w:t xml:space="preserve">GIS</w:t></w:r></w:p></w:tc><w:tc><w:tcPr><w:vAlign w:val="center"/><w:noWrap/></w:tcPr><w:p><w:pPr><w:spacing w:after="0"/></w:pPr><w:r><w:rPr><w:sz w:val="20"/><w:szCs w:val="20"/><w:b w:val="0"/><w:bCs w:val="0"/></w:rPr><w:t xml:space="preserve">Geographic Information System</w:t></w:r></w:p></w:tc></w:tr><w:tr><w:trPr/><w:tc><w:tcPr><w:vAlign w:val="center"/><w:noWrap/></w:tcPr><w:p><w:pPr><w:spacing w:after="0"/></w:pPr><w:r><w:rPr><w:sz w:val="20"/><w:szCs w:val="20"/><w:b w:val="0"/><w:bCs w:val="0"/></w:rPr><w:t xml:space="preserve">GPS</w:t></w:r></w:p></w:tc><w:tc><w:tcPr><w:vAlign w:val="center"/><w:noWrap/></w:tcPr><w:p><w:pPr><w:spacing w:after="0"/></w:pPr><w:r><w:rPr><w:sz w:val="20"/><w:szCs w:val="20"/><w:b w:val="0"/><w:bCs w:val="0"/></w:rPr><w:t xml:space="preserve">Global Positioning System</w:t></w:r></w:p></w:tc></w:tr><w:tr><w:trPr/><w:tc><w:tcPr><w:vAlign w:val="center"/><w:noWrap/></w:tcPr><w:p><w:pPr><w:spacing w:after="0"/></w:pPr><w:r><w:rPr><w:sz w:val="20"/><w:szCs w:val="20"/><w:b w:val="0"/><w:bCs w:val="0"/></w:rPr><w:t xml:space="preserve">WMS</w:t></w:r></w:p></w:tc><w:tc><w:tcPr><w:vAlign w:val="center"/><w:noWrap/></w:tcPr><w:p><w:pPr><w:spacing w:after="0"/></w:pPr><w:r><w:rPr><w:sz w:val="20"/><w:szCs w:val="20"/><w:b w:val="0"/><w:bCs w:val="0"/></w:rPr><w:t xml:space="preserve">Waste Management System</w:t></w:r></w:p></w:tc></w:tr><w:tr><w:trPr/><w:tc><w:tcPr><w:vAlign w:val="center"/><w:noWrap/></w:tcPr><w:p><w:pPr><w:spacing w:after="0"/></w:pPr><w:r><w:rPr><w:sz w:val="20"/><w:szCs w:val="20"/><w:b w:val="0"/><w:bCs w:val="0"/></w:rPr><w:t xml:space="preserve">IEC</w:t></w:r></w:p></w:tc><w:tc><w:tcPr><w:vAlign w:val="center"/><w:noWrap/></w:tcPr><w:p><w:pPr><w:spacing w:after="0"/></w:pPr><w:r><w:rPr><w:sz w:val="20"/><w:szCs w:val="20"/><w:b w:val="0"/><w:bCs w:val="0"/></w:rPr><w:t xml:space="preserve">Information, Education and Communication</w:t></w:r></w:p></w:tc></w:tr><w:tr><w:trPr/><w:tc><w:tcPr><w:vAlign w:val="center"/><w:noWrap/></w:tcPr><w:p><w:pPr><w:spacing w:after="0"/></w:pPr><w:r><w:rPr><w:sz w:val="20"/><w:szCs w:val="20"/><w:b w:val="0"/><w:bCs w:val="0"/></w:rPr><w:t xml:space="preserve">TPD</w:t></w:r></w:p></w:tc><w:tc><w:tcPr><w:vAlign w:val="center"/><w:noWrap/></w:tcPr><w:p><w:pPr><w:spacing w:after="0"/></w:pPr><w:r><w:rPr><w:sz w:val="20"/><w:szCs w:val="20"/><w:b w:val="0"/><w:bCs w:val="0"/></w:rPr><w:t xml:space="preserve">Tonnes Per Day</w:t></w:r></w:p></w:tc></w:tr><w:tr><w:trPr/><w:tc><w:tcPr><w:vAlign w:val="center"/><w:noWrap/></w:tcPr><w:p><w:pPr><w:spacing w:after="0"/></w:pPr><w:r><w:rPr><w:sz w:val="20"/><w:szCs w:val="20"/><w:b w:val="0"/><w:bCs w:val="0"/></w:rPr><w:t xml:space="preserve">HH</w:t></w:r></w:p></w:tc><w:tc><w:tcPr><w:vAlign w:val="center"/><w:noWrap/></w:tcPr><w:p><w:pPr><w:spacing w:after="0"/></w:pPr><w:r><w:rPr><w:sz w:val="20"/><w:szCs w:val="20"/><w:b w:val="0"/><w:bCs w:val="0"/></w:rPr><w:t xml:space="preserve">Household</w:t></w:r></w:p></w:tc></w:tr><w:tr><w:trPr/><w:tc><w:tcPr><w:vAlign w:val="center"/><w:noWrap/></w:tcPr><w:p><w:pPr><w:spacing w:after="0"/></w:pPr><w:r><w:rPr><w:sz w:val="20"/><w:szCs w:val="20"/><w:b w:val="0"/><w:bCs w:val="0"/></w:rPr><w:t xml:space="preserve">B.S.</w:t></w:r></w:p></w:tc><w:tc><w:tcPr><w:vAlign w:val="center"/><w:noWrap/></w:tcPr><w:p><w:pPr><w:spacing w:after="0"/></w:pPr><w:r><w:rPr><w:sz w:val="20"/><w:szCs w:val="20"/><w:b w:val="0"/><w:bCs w:val="0"/></w:rPr><w:t xml:space="preserve">Bikram Sambat (Nepali Calendar)</w:t></w:r></w:p></w:tc></w:tr><w:tr><w:trPr/><w:tc><w:tcPr><w:vAlign w:val="center"/><w:noWrap/></w:tcPr><w:p><w:pPr><w:spacing w:after="0"/></w:pPr><w:r><w:rPr><w:sz w:val="20"/><w:szCs w:val="20"/><w:b w:val="0"/><w:bCs w:val="0"/></w:rPr><w:t xml:space="preserve">TOR</w:t></w:r></w:p></w:tc><w:tc><w:tcPr><w:vAlign w:val="center"/><w:noWrap/></w:tcPr><w:p><w:pPr><w:spacing w:after="0"/></w:pPr><w:r><w:rPr><w:sz w:val="20"/><w:szCs w:val="20"/><w:b w:val="0"/><w:bCs w:val="0"/></w:rPr><w:t xml:space="preserve">Terms of Reference</w:t></w:r></w:p></w:tc></w:tr><w:tr><w:trPr/><w:tc><w:tcPr><w:vAlign w:val="center"/><w:noWrap/></w:tcPr><w:p><w:pPr><w:spacing w:after="0"/></w:pPr><w:r><w:rPr><w:sz w:val="20"/><w:szCs w:val="20"/><w:b w:val="0"/><w:bCs w:val="0"/></w:rPr><w:t xml:space="preserve">PAN</w:t></w:r></w:p></w:tc><w:tc><w:tcPr><w:vAlign w:val="center"/><w:noWrap/></w:tcPr><w:p><w:pPr><w:spacing w:after="0"/></w:pPr><w:r><w:rPr><w:sz w:val="20"/><w:szCs w:val="20"/><w:b w:val="0"/><w:bCs w:val="0"/></w:rPr><w:t xml:space="preserve">Permanent Account Number</w:t></w:r></w:p></w:tc></w:tr><w:tr><w:trPr/><w:tc><w:tcPr><w:vAlign w:val="center"/><w:noWrap/></w:tcPr><w:p><w:pPr><w:spacing w:after="0"/></w:pPr><w:r><w:rPr><w:sz w:val="20"/><w:szCs w:val="20"/><w:b w:val="0"/><w:bCs w:val="0"/></w:rPr><w:t xml:space="preserve">VAT</w:t></w:r></w:p></w:tc><w:tc><w:tcPr><w:vAlign w:val="center"/><w:noWrap/></w:tcPr><w:p><w:pPr><w:spacing w:after="0"/></w:pPr><w:r><w:rPr><w:sz w:val="20"/><w:szCs w:val="20"/><w:b w:val="0"/><w:bCs w:val="0"/></w:rPr><w:t xml:space="preserve">Value Added Tax</w:t></w:r></w:p></w:tc></w:tr></w:tbl><w:p/><w:p><w:pPr><w:pStyle w:val="Heading1"/></w:pPr><w:bookmarkStart w:id="1" w:name="_Toc1"/><w:r><w:t>Cluster Profile</w:t></w:r><w:bookmarkEnd w:id="1"/></w:p><w:p><w:pPr/><w:r><w:rPr><w:sz w:val="22"/><w:szCs w:val="22"/></w:rPr><w:t xml:space="preserve">Cluster 1 consists of Wards 2, 3, 4, 5, 7. The purpose of clustering these wards was to organize data collection and analysis in a systematic and manageable manner. The cluster-based approach ensures better coordination, monitoring, and comparison between wards.</w:t></w:r></w:p><w:p/><w:tbl><w:tblGrid><w:gridCol/><w:gridCol/></w:tblGrid><w:tblPr><w:tblStyle w:val="MainTable"/></w:tblPr><w:tr><w:trPr><w:trHeight w:val="400" w:hRule="atLeast"/></w:trPr><w:tc><w:tcPr><w:vAlign w:val="center"/><w:shd w:val="clear" w:fill="1e3a5f"/><w:noWrap/></w:tcPr><w:p><w:pPr><w:spacing w:after="0"/></w:pPr><w:r><w:rPr><w:color w:val="ffffff"/><w:sz w:val="20"/><w:szCs w:val="20"/><w:b w:val="1"/><w:bCs w:val="1"/></w:rPr><w:t xml:space="preserve">Cluster Attribute</w:t></w:r></w:p></w:tc><w:tc><w:tcPr><w:vAlign w:val="center"/><w:shd w:val="clear" w:fill="1e3a5f"/><w:noWrap/></w:tcPr><w:p><w:pPr><w:spacing w:after="0"/></w:pPr><w:r><w:rPr><w:color w:val="ffffff"/><w:sz w:val="20"/><w:szCs w:val="20"/><w:b w:val="1"/><w:bCs w:val="1"/></w:rPr><w:t xml:space="preserve">Value</w:t></w:r></w:p></w:tc></w:tr><w:tr><w:trPr/><w:tc><w:tcPr><w:vAlign w:val="center"/><w:noWrap/></w:tcPr><w:p><w:pPr><w:spacing w:after="0"/></w:pPr><w:r><w:rPr><w:sz w:val="20"/><w:szCs w:val="20"/><w:b w:val="0"/><w:bCs w:val="0"/></w:rPr><w:t xml:space="preserve">Cluster Number</w:t></w:r></w:p></w:tc><w:tc><w:tcPr><w:vAlign w:val="center"/><w:noWrap/></w:tcPr><w:p><w:pPr><w:spacing w:after="0"/></w:pPr><w:r><w:rPr><w:sz w:val="20"/><w:szCs w:val="20"/><w:b w:val="0"/><w:bCs w:val="0"/></w:rPr><w:t xml:space="preserve">Cluster 1</w:t></w:r></w:p></w:tc></w:tr><w:tr><w:trPr/><w:tc><w:tcPr><w:vAlign w:val="center"/><w:noWrap/></w:tcPr><w:p><w:pPr><w:spacing w:after="0"/></w:pPr><w:r><w:rPr><w:sz w:val="20"/><w:szCs w:val="20"/><w:b w:val="0"/><w:bCs w:val="0"/></w:rPr><w:t xml:space="preserve">Wards Covered</w:t></w:r></w:p></w:tc><w:tc><w:tcPr><w:vAlign w:val="center"/><w:noWrap/></w:tcPr><w:p><w:pPr><w:spacing w:after="0"/></w:pPr><w:r><w:rPr><w:sz w:val="20"/><w:szCs w:val="20"/><w:b w:val="0"/><w:bCs w:val="0"/></w:rPr><w:t xml:space="preserve">Ward 2, Ward 3, Ward 4, Ward 5, Ward 7</w:t></w:r></w:p></w:tc></w:tr><w:tr><w:trPr/><w:tc><w:tcPr><w:vAlign w:val="center"/><w:noWrap/></w:tcPr><w:p><w:pPr><w:spacing w:after="0"/></w:pPr><w:r><w:rPr><w:sz w:val="20"/><w:szCs w:val="20"/><w:b w:val="0"/><w:bCs w:val="0"/></w:rPr><w:t xml:space="preserve">Total Area</w:t></w:r></w:p></w:tc><w:tc><w:tcPr><w:vAlign w:val="center"/><w:noWrap/></w:tcPr><w:p><w:pPr><w:spacing w:after="0"/></w:pPr><w:r><w:rPr><w:sz w:val="20"/><w:szCs w:val="20"/><w:b w:val="0"/><w:bCs w:val="0"/></w:rPr><w:t xml:space="preserve">9.162 km²</w:t></w:r></w:p></w:tc></w:tr><w:tr><w:trPr/><w:tc><w:tcPr><w:vAlign w:val="center"/><w:noWrap/></w:tcPr><w:p><w:pPr><w:spacing w:after="0"/></w:pPr><w:r><w:rPr><w:sz w:val="20"/><w:szCs w:val="20"/><w:b w:val="0"/><w:bCs w:val="0"/></w:rPr><w:t xml:space="preserve">Transfer Station</w:t></w:r></w:p></w:tc><w:tc><w:tcPr><w:vAlign w:val="center"/><w:noWrap/></w:tcPr><w:p><w:pPr><w:spacing w:after="0"/></w:pPr><w:r><w:rPr><w:sz w:val="20"/><w:szCs w:val="20"/><w:b w:val="0"/><w:bCs w:val="0"/></w:rPr><w:t xml:space="preserve">Ward 7, Gangahiti</w:t></w:r></w:p></w:tc></w:tr><w:tr><w:trPr/><w:tc><w:tcPr><w:vAlign w:val="center"/><w:noWrap/></w:tcPr><w:p><w:pPr><w:spacing w:after="0"/></w:pPr><w:r><w:rPr><w:sz w:val="20"/><w:szCs w:val="20"/><w:b w:val="0"/><w:bCs w:val="0"/></w:rPr><w:t xml:space="preserve">Target Households</w:t></w:r></w:p></w:tc><w:tc><w:tcPr><w:vAlign w:val="center"/><w:noWrap/></w:tcPr><w:p><w:pPr><w:spacing w:after="0"/></w:pPr><w:r><w:rPr><w:sz w:val="20"/><w:szCs w:val="20"/><w:b w:val="0"/><w:bCs w:val="0"/></w:rPr><w:t xml:space="preserve">38,408</w:t></w:r></w:p></w:tc></w:tr><w:tr><w:trPr/><w:tc><w:tcPr><w:vAlign w:val="center"/><w:noWrap/></w:tcPr><w:p><w:pPr><w:spacing w:after="0"/></w:pPr><w:r><w:rPr><w:sz w:val="20"/><w:szCs w:val="20"/><w:b w:val="0"/><w:bCs w:val="0"/></w:rPr><w:t xml:space="preserve">Total Records Collected</w:t></w:r></w:p></w:tc><w:tc><w:tcPr><w:vAlign w:val="center"/><w:noWrap/></w:tcPr><w:p><w:pPr><w:spacing w:after="0"/></w:pPr><w:r><w:rPr><w:sz w:val="20"/><w:szCs w:val="20"/><w:b w:val="0"/><w:bCs w:val="0"/></w:rPr><w:t xml:space="preserve">29,823</w:t></w:r></w:p></w:tc></w:tr><w:tr><w:trPr/><w:tc><w:tcPr><w:vAlign w:val="center"/><w:noWrap/></w:tcPr><w:p><w:pPr><w:spacing w:after="0"/></w:pPr><w:r><w:rPr><w:sz w:val="20"/><w:szCs w:val="20"/><w:b w:val="0"/><w:bCs w:val="0"/></w:rPr><w:t xml:space="preserve">Households</w:t></w:r></w:p></w:tc><w:tc><w:tcPr><w:vAlign w:val="center"/><w:noWrap/></w:tcPr><w:p><w:pPr><w:spacing w:after="0"/></w:pPr><w:r><w:rPr><w:sz w:val="20"/><w:szCs w:val="20"/><w:b w:val="0"/><w:bCs w:val="0"/></w:rPr><w:t xml:space="preserve">17,414</w:t></w:r></w:p></w:tc></w:tr><w:tr><w:trPr/><w:tc><w:tcPr><w:vAlign w:val="center"/><w:noWrap/></w:tcPr><w:p><w:pPr><w:spacing w:after="0"/></w:pPr><w:r><w:rPr><w:sz w:val="20"/><w:szCs w:val="20"/><w:b w:val="0"/><w:bCs w:val="0"/></w:rPr><w:t xml:space="preserve">Commercial Establishments</w:t></w:r></w:p></w:tc><w:tc><w:tcPr><w:vAlign w:val="center"/><w:noWrap/></w:tcPr><w:p><w:pPr><w:spacing w:after="0"/></w:pPr><w:r><w:rPr><w:sz w:val="20"/><w:szCs w:val="20"/><w:b w:val="0"/><w:bCs w:val="0"/></w:rPr><w:t xml:space="preserve">12,409</w:t></w:r></w:p></w:tc></w:tr><w:tr><w:trPr/><w:tc><w:tcPr><w:vAlign w:val="center"/><w:noWrap/></w:tcPr><w:p><w:pPr><w:spacing w:after="0"/></w:pPr><w:r><w:rPr><w:sz w:val="20"/><w:szCs w:val="20"/><w:b w:val="0"/><w:bCs w:val="0"/></w:rPr><w:t xml:space="preserve">Total Religious Sites</w:t></w:r></w:p></w:tc><w:tc><w:tcPr><w:vAlign w:val="center"/><w:noWrap/></w:tcPr><w:p><w:pPr><w:spacing w:after="0"/></w:pPr><w:r><w:rPr><w:sz w:val="20"/><w:szCs w:val="20"/><w:b w:val="0"/><w:bCs w:val="0"/></w:rPr><w:t xml:space="preserve">0 temples</w:t></w:r></w:p></w:tc></w:tr></w:tbl><w:p><w:r><w:br w:type="page"/></w:r></w:p><w:p><w:pPr><w:spacing w:before="100" w:after="200"/></w:pPr><w:r><w:rPr><w:color w:val="1e3a5f"/><w:sz w:val="28"/><w:szCs w:val="28"/><w:b w:val="1"/><w:bCs w:val="1"/><w:smallCaps w:val="0"/><w:caps w:val="1"/></w:rPr><w:t xml:space="preserve">MODULE: WASTE DATA COLLECTION</w:t></w:r></w:p><w:p><w:pPr><w:pStyle w:val="Heading1"/></w:pPr><w:bookmarkStart w:id="2" w:name="_Toc2"/><w:r><w:t>1. Introduction (Waste Collection)</w:t></w:r><w:bookmarkEnd w:id="2"/></w:p><w:p><w:pPr><w:spacing w:after="120"/></w:pPr><w:r><w:rPr><w:sz w:val="22"/><w:szCs w:val="22"/></w:rPr><w:t xml:space="preserve">Kathmandu Metropolitan City (KMC) conducted a detailed survey of households and businesses to collect reliable data on waste generation and management practices across different areas. The data was collected using a digital data collection system in organized clusters, which ensured systematic coverage and consistency in reporting. The survey gathered important information such as the type and amount of waste produced, household size, business category, and existing waste management practices.</w:t></w:r></w:p><w:p><w:pPr><w:spacing w:after="120"/></w:pPr><w:r><w:rPr><w:sz w:val="22"/><w:szCs w:val="22"/></w:rPr><w:t xml:space="preserve">Along with waste-related data, the survey also recorded basic information. In addition, locations where garbage is disposed of in public spaces were identified and documented. This comprehensive approach helped in understanding both waste-related challenges and the surrounding environmental conditions.</w:t></w:r></w:p><w:p><w:pPr><w:pStyle w:val="Heading1"/></w:pPr><w:bookmarkStart w:id="3" w:name="_Toc3"/><w:r><w:t>2. Objectives</w:t></w:r><w:bookmarkEnd w:id="3"/></w:p><w:p><w:pPr><w:spacing w:after="80"/><w:numPr><w:ilvl w:val="0"/><w:numId w:val="6"/></w:numPr></w:pPr><w:r><w:rPr><w:sz w:val="22"/><w:szCs w:val="22"/></w:rPr><w:t xml:space="preserve">Collect Waste Data: To gather detailed and accurate information on the type, quantity, and daily generation of waste produced by households and businesses.</w:t></w:r></w:p><w:p><w:pPr><w:spacing w:after="80"/><w:numPr><w:ilvl w:val="0"/><w:numId w:val="6"/></w:numPr></w:pPr><w:r><w:rPr><w:sz w:val="22"/><w:szCs w:val="22"/></w:rPr><w:t xml:space="preserve">Document Waste Management Practices: To record existing waste management methods followed by households and businesses, including waste collection through vehicles, composting practices, and disposal methods.</w:t></w:r></w:p><w:p><w:pPr><w:spacing w:after="80"/><w:numPr><w:ilvl w:val="0"/><w:numId w:val="6"/></w:numPr></w:pPr><w:r><w:rPr><w:sz w:val="22"/><w:szCs w:val="22"/></w:rPr><w:t xml:space="preserve">Profile Households and Businesses: To collect essential background information, including household size, business type, and relevant identification numbers such as PAN.</w:t></w:r></w:p><w:p><w:pPr><w:spacing w:after="80"/><w:numPr><w:ilvl w:val="0"/><w:numId w:val="6"/></w:numPr></w:pPr><w:r><w:rPr><w:sz w:val="22"/><w:szCs w:val="22"/></w:rPr><w:t xml:space="preserve">Support Data Analysis and Reporting: To organize, verify, and analyze the collected data in a systematic manner to support operational planning, monitoring, and continuous improvement of waste management services.</w:t></w:r></w:p><w:p><w:pPr><w:pStyle w:val="Heading1"/></w:pPr><w:bookmarkStart w:id="4" w:name="_Toc4"/><w:r><w:t>3. Ward-wise Summary</w:t></w:r><w:bookmarkEnd w:id="4"/></w:p><w:p><w:pPr><w:spacing w:after="100"/></w:pPr><w:r><w:rPr><w:sz w:val="22"/><w:szCs w:val="22"/></w:rPr><w:t xml:space="preserve">The following table presents the ward-wise breakdown of surveyed households and commercial establishments in Cluster 1.</w:t></w:r></w:p><w:tbl><w:tblGrid><w:gridCol/><w:gridCol/><w:gridCol/><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Household</w:t></w:r></w:p></w:tc><w:tc><w:tcPr><w:vAlign w:val="center"/><w:shd w:val="clear" w:fill="1e3a5f"/><w:noWrap/></w:tcPr><w:p><w:pPr><w:spacing w:after="0"/></w:pPr><w:r><w:rPr><w:color w:val="ffffff"/><w:sz w:val="20"/><w:szCs w:val="20"/><w:b w:val="1"/><w:bCs w:val="1"/></w:rPr><w:t xml:space="preserve">Commercial</w:t></w:r></w:p></w:tc><w:tc><w:tcPr><w:vAlign w:val="center"/><w:shd w:val="clear" w:fill="1e3a5f"/><w:noWrap/></w:tcPr><w:p><w:pPr><w:spacing w:after="0"/></w:pPr><w:r><w:rPr><w:color w:val="ffffff"/><w:sz w:val="20"/><w:szCs w:val="20"/><w:b w:val="1"/><w:bCs w:val="1"/></w:rPr><w:t xml:space="preserve">Total</w:t></w:r></w:p></w:tc><w:tc><w:tcPr><w:vAlign w:val="center"/><w:shd w:val="clear" w:fill="1e3a5f"/><w:noWrap/></w:tcPr><w:p><w:pPr><w:spacing w:after="0"/></w:pPr><w:r><w:rPr><w:color w:val="ffffff"/><w:sz w:val="20"/><w:szCs w:val="20"/><w:b w:val="1"/><w:bCs w:val="1"/></w:rPr><w:t xml:space="preserve">Cleaned</w:t></w:r></w:p></w:tc><w:tc><w:tcPr><w:vAlign w:val="center"/><w:shd w:val="clear" w:fill="1e3a5f"/><w:noWrap/></w:tcPr><w:p><w:pPr><w:spacing w:after="0"/></w:pPr><w:r><w:rPr><w:color w:val="ffffff"/><w:sz w:val="20"/><w:szCs w:val="20"/><w:b w:val="1"/><w:bCs w:val="1"/></w:rPr><w:t xml:space="preserve">Pending</w:t></w:r></w:p></w:tc><w:tc><w:tcPr><w:vAlign w:val="center"/><w:shd w:val="clear" w:fill="1e3a5f"/><w:noWrap/></w:tcPr><w:p><w:pPr><w:spacing w:after="0"/></w:pPr><w:r><w:rPr><w:color w:val="ffffff"/><w:sz w:val="20"/><w:szCs w:val="20"/><w:b w:val="1"/><w:bCs w:val="1"/></w:rPr><w:t xml:space="preserve">Clean %</w:t></w:r></w:p></w:tc></w:tr><w:tr><w:trPr/><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1,425</w:t></w:r></w:p></w:tc><w:tc><w:tcPr><w:vAlign w:val="center"/><w:noWrap/></w:tcPr><w:p><w:pPr><w:spacing w:after="0"/></w:pPr><w:r><w:rPr><w:sz w:val="20"/><w:szCs w:val="20"/><w:b w:val="0"/><w:bCs w:val="0"/></w:rPr><w:t xml:space="preserve">1,150</w:t></w:r></w:p></w:tc><w:tc><w:tcPr><w:vAlign w:val="center"/><w:noWrap/></w:tcPr><w:p><w:pPr><w:spacing w:after="0"/></w:pPr><w:r><w:rPr><w:sz w:val="20"/><w:szCs w:val="20"/><w:b w:val="0"/><w:bCs w:val="0"/></w:rPr><w:t xml:space="preserve">2,575</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2,575</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3,981</w:t></w:r></w:p></w:tc><w:tc><w:tcPr><w:vAlign w:val="center"/><w:noWrap/></w:tcPr><w:p><w:pPr><w:spacing w:after="0"/></w:pPr><w:r><w:rPr><w:sz w:val="20"/><w:szCs w:val="20"/><w:b w:val="0"/><w:bCs w:val="0"/></w:rPr><w:t xml:space="preserve">3,194</w:t></w:r></w:p></w:tc><w:tc><w:tcPr><w:vAlign w:val="center"/><w:noWrap/></w:tcPr><w:p><w:pPr><w:spacing w:after="0"/></w:pPr><w:r><w:rPr><w:sz w:val="20"/><w:szCs w:val="20"/><w:b w:val="0"/><w:bCs w:val="0"/></w:rPr><w:t xml:space="preserve">7,175</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7,175</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5,734</w:t></w:r></w:p></w:tc><w:tc><w:tcPr><w:vAlign w:val="center"/><w:noWrap/></w:tcPr><w:p><w:pPr><w:spacing w:after="0"/></w:pPr><w:r><w:rPr><w:sz w:val="20"/><w:szCs w:val="20"/><w:b w:val="0"/><w:bCs w:val="0"/></w:rPr><w:t xml:space="preserve">2,885</w:t></w:r></w:p></w:tc><w:tc><w:tcPr><w:vAlign w:val="center"/><w:noWrap/></w:tcPr><w:p><w:pPr><w:spacing w:after="0"/></w:pPr><w:r><w:rPr><w:sz w:val="20"/><w:szCs w:val="20"/><w:b w:val="0"/><w:bCs w:val="0"/></w:rPr><w:t xml:space="preserve">8,619</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8,619</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1,573</w:t></w:r></w:p></w:tc><w:tc><w:tcPr><w:vAlign w:val="center"/><w:noWrap/></w:tcPr><w:p><w:pPr><w:spacing w:after="0"/></w:pPr><w:r><w:rPr><w:sz w:val="20"/><w:szCs w:val="20"/><w:b w:val="0"/><w:bCs w:val="0"/></w:rPr><w:t xml:space="preserve">1,100</w:t></w:r></w:p></w:tc><w:tc><w:tcPr><w:vAlign w:val="center"/><w:noWrap/></w:tcPr><w:p><w:pPr><w:spacing w:after="0"/></w:pPr><w:r><w:rPr><w:sz w:val="20"/><w:szCs w:val="20"/><w:b w:val="0"/><w:bCs w:val="0"/></w:rPr><w:t xml:space="preserve">2,673</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2,673</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4,701</w:t></w:r></w:p></w:tc><w:tc><w:tcPr><w:vAlign w:val="center"/><w:noWrap/></w:tcPr><w:p><w:pPr><w:spacing w:after="0"/></w:pPr><w:r><w:rPr><w:sz w:val="20"/><w:szCs w:val="20"/><w:b w:val="0"/><w:bCs w:val="0"/></w:rPr><w:t xml:space="preserve">4,080</w:t></w:r></w:p></w:tc><w:tc><w:tcPr><w:vAlign w:val="center"/><w:noWrap/></w:tcPr><w:p><w:pPr><w:spacing w:after="0"/></w:pPr><w:r><w:rPr><w:sz w:val="20"/><w:szCs w:val="20"/><w:b w:val="0"/><w:bCs w:val="0"/></w:rPr><w:t xml:space="preserve">8,781</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8,781</w:t></w:r></w:p></w:tc><w:tc><w:tcPr><w:vAlign w:val="center"/><w:noWrap/></w:tcPr><w:p><w:pPr><w:spacing w:after="0"/></w:pPr><w:r><w:rPr><w:sz w:val="20"/><w:szCs w:val="20"/><w:b w:val="0"/><w:bCs w:val="0"/></w:rPr><w:t xml:space="preserve">0.0%</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17,414</w:t></w:r></w:p></w:tc><w:tc><w:tcPr><w:vAlign w:val="center"/><w:shd w:val="clear" w:fill="e2e8f0"/><w:noWrap/></w:tcPr><w:p><w:pPr><w:spacing w:after="0"/></w:pPr><w:r><w:rPr><w:sz w:val="20"/><w:szCs w:val="20"/><w:b w:val="1"/><w:bCs w:val="1"/></w:rPr><w:t xml:space="preserve">12,409</w:t></w:r></w:p></w:tc><w:tc><w:tcPr><w:vAlign w:val="center"/><w:shd w:val="clear" w:fill="e2e8f0"/><w:noWrap/></w:tcPr><w:p><w:pPr><w:spacing w:after="0"/></w:pPr><w:r><w:rPr><w:sz w:val="20"/><w:szCs w:val="20"/><w:b w:val="1"/><w:bCs w:val="1"/></w:rPr><w:t xml:space="preserve">29,823</w:t></w:r></w:p></w:tc><w:tc><w:tcPr><w:vAlign w:val="center"/><w:shd w:val="clear" w:fill="e2e8f0"/><w:noWrap/></w:tcPr><w:p><w:pPr><w:spacing w:after="0"/></w:pPr><w:r><w:rPr><w:sz w:val="20"/><w:szCs w:val="20"/><w:b w:val="1"/><w:bCs w:val="1"/></w:rPr><w:t xml:space="preserve">0</w:t></w:r></w:p></w:tc><w:tc><w:tcPr><w:vAlign w:val="center"/><w:shd w:val="clear" w:fill="e2e8f0"/><w:noWrap/></w:tcPr><w:p><w:pPr><w:spacing w:after="0"/></w:pPr><w:r><w:rPr><w:sz w:val="20"/><w:szCs w:val="20"/><w:b w:val="1"/><w:bCs w:val="1"/></w:rPr><w:t xml:space="preserve">29,823</w:t></w:r></w:p></w:tc><w:tc><w:tcPr><w:vAlign w:val="center"/><w:shd w:val="clear" w:fill="e2e8f0"/><w:noWrap/></w:tcPr><w:p><w:pPr><w:spacing w:after="0"/></w:pPr><w:r><w:rPr><w:sz w:val="20"/><w:szCs w:val="20"/><w:b w:val="1"/><w:bCs w:val="1"/></w:rPr><w:t xml:space="preserve">0.0%</w:t></w:r></w:p></w:tc></w:tr></w:tbl><w:p/><w:p><w:pPr><w:pStyle w:val="Heading1"/></w:pPr><w:bookmarkStart w:id="5" w:name="_Toc5"/><w:r><w:t>4. Daily Waste Generation Distribution</w:t></w:r><w:bookmarkEnd w:id="5"/></w:p><w:p><w:pPr><w:spacing w:after="100"/></w:pPr><w:r><w:rPr><w:sz w:val="22"/><w:szCs w:val="22"/></w:rPr><w:t xml:space="preserve">The majority of waste generators fall under the 0-5 kg/day category, indicating predominantly small households and small commercial producers.</w:t></w:r></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Weight Category</w:t></w:r></w:p></w:tc><w:tc><w:tcPr><w:vAlign w:val="center"/><w:shd w:val="clear" w:fill="1e3a5f"/><w:noWrap/></w:tcPr><w:p><w:pPr><w:spacing w:after="0"/></w:pPr><w:r><w:rPr><w:color w:val="ffffff"/><w:sz w:val="20"/><w:szCs w:val="20"/><w:b w:val="1"/><w:bCs w:val="1"/></w:rPr><w:t xml:space="preserve">Count</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0-5 KG</w:t></w:r></w:p></w:tc><w:tc><w:tcPr><w:vAlign w:val="center"/><w:noWrap/></w:tcPr><w:p><w:pPr><w:spacing w:after="0"/></w:pPr><w:r><w:rPr><w:sz w:val="20"/><w:szCs w:val="20"/><w:b w:val="0"/><w:bCs w:val="0"/></w:rPr><w:t xml:space="preserve">20,571</w:t></w:r></w:p></w:tc><w:tc><w:tcPr><w:vAlign w:val="center"/><w:noWrap/></w:tcPr><w:p><w:pPr><w:spacing w:after="0"/></w:pPr><w:r><w:rPr><w:sz w:val="20"/><w:szCs w:val="20"/><w:b w:val="0"/><w:bCs w:val="0"/></w:rPr><w:t xml:space="preserve">88.6%</w:t></w:r></w:p></w:tc></w:tr><w:tr><w:trPr/><w:tc><w:tcPr><w:vAlign w:val="center"/><w:noWrap/></w:tcPr><w:p><w:pPr><w:spacing w:after="0"/></w:pPr><w:r><w:rPr><w:sz w:val="20"/><w:szCs w:val="20"/><w:b w:val="0"/><w:bCs w:val="0"/></w:rPr><w:t xml:space="preserve">5-10 KG</w:t></w:r></w:p></w:tc><w:tc><w:tcPr><w:vAlign w:val="center"/><w:noWrap/></w:tcPr><w:p><w:pPr><w:spacing w:after="0"/></w:pPr><w:r><w:rPr><w:sz w:val="20"/><w:szCs w:val="20"/><w:b w:val="0"/><w:bCs w:val="0"/></w:rPr><w:t xml:space="preserve">1,954</w:t></w:r></w:p></w:tc><w:tc><w:tcPr><w:vAlign w:val="center"/><w:noWrap/></w:tcPr><w:p><w:pPr><w:spacing w:after="0"/></w:pPr><w:r><w:rPr><w:sz w:val="20"/><w:szCs w:val="20"/><w:b w:val="0"/><w:bCs w:val="0"/></w:rPr><w:t xml:space="preserve">8.4%</w:t></w:r></w:p></w:tc></w:tr><w:tr><w:trPr/><w:tc><w:tcPr><w:vAlign w:val="center"/><w:noWrap/></w:tcPr><w:p><w:pPr><w:spacing w:after="0"/></w:pPr><w:r><w:rPr><w:sz w:val="20"/><w:szCs w:val="20"/><w:b w:val="0"/><w:bCs w:val="0"/></w:rPr><w:t xml:space="preserve">10-15 KG</w:t></w:r></w:p></w:tc><w:tc><w:tcPr><w:vAlign w:val="center"/><w:noWrap/></w:tcPr><w:p><w:pPr><w:spacing w:after="0"/></w:pPr><w:r><w:rPr><w:sz w:val="20"/><w:szCs w:val="20"/><w:b w:val="0"/><w:bCs w:val="0"/></w:rPr><w:t xml:space="preserve">440</w:t></w:r></w:p></w:tc><w:tc><w:tcPr><w:vAlign w:val="center"/><w:noWrap/></w:tcPr><w:p><w:pPr><w:spacing w:after="0"/></w:pPr><w:r><w:rPr><w:sz w:val="20"/><w:szCs w:val="20"/><w:b w:val="0"/><w:bCs w:val="0"/></w:rPr><w:t xml:space="preserve">1.9%</w:t></w:r></w:p></w:tc></w:tr><w:tr><w:trPr/><w:tc><w:tcPr><w:vAlign w:val="center"/><w:noWrap/></w:tcPr><w:p><w:pPr><w:spacing w:after="0"/></w:pPr><w:r><w:rPr><w:sz w:val="20"/><w:szCs w:val="20"/><w:b w:val="0"/><w:bCs w:val="0"/></w:rPr><w:t xml:space="preserve">15-50 KG</w:t></w:r></w:p></w:tc><w:tc><w:tcPr><w:vAlign w:val="center"/><w:noWrap/></w:tcPr><w:p><w:pPr><w:spacing w:after="0"/></w:pPr><w:r><w:rPr><w:sz w:val="20"/><w:szCs w:val="20"/><w:b w:val="0"/><w:bCs w:val="0"/></w:rPr><w:t xml:space="preserve">201</w:t></w:r></w:p></w:tc><w:tc><w:tcPr><w:vAlign w:val="center"/><w:noWrap/></w:tcPr><w:p><w:pPr><w:spacing w:after="0"/></w:pPr><w:r><w:rPr><w:sz w:val="20"/><w:szCs w:val="20"/><w:b w:val="0"/><w:bCs w:val="0"/></w:rPr><w:t xml:space="preserve">0.9%</w:t></w:r></w:p></w:tc></w:tr><w:tr><w:trPr/><w:tc><w:tcPr><w:vAlign w:val="center"/><w:noWrap/></w:tcPr><w:p><w:pPr><w:spacing w:after="0"/></w:pPr><w:r><w:rPr><w:sz w:val="20"/><w:szCs w:val="20"/><w:b w:val="0"/><w:bCs w:val="0"/></w:rPr><w:t xml:space="preserve">50-200 KG</w:t></w:r></w:p></w:tc><w:tc><w:tcPr><w:vAlign w:val="center"/><w:noWrap/></w:tcPr><w:p><w:pPr><w:spacing w:after="0"/></w:pPr><w:r><w:rPr><w:sz w:val="20"/><w:szCs w:val="20"/><w:b w:val="0"/><w:bCs w:val="0"/></w:rPr><w:t xml:space="preserve">33</w:t></w:r></w:p></w:tc><w:tc><w:tcPr><w:vAlign w:val="center"/><w:noWrap/></w:tcPr><w:p><w:pPr><w:spacing w:after="0"/></w:pPr><w:r><w:rPr><w:sz w:val="20"/><w:szCs w:val="20"/><w:b w:val="0"/><w:bCs w:val="0"/></w:rPr><w:t xml:space="preserve">0.1%</w:t></w:r></w:p></w:tc></w:tr><w:tr><w:trPr/><w:tc><w:tcPr><w:vAlign w:val="center"/><w:noWrap/></w:tcPr><w:p><w:pPr><w:spacing w:after="0"/></w:pPr><w:r><w:rPr><w:sz w:val="20"/><w:szCs w:val="20"/><w:b w:val="0"/><w:bCs w:val="0"/></w:rPr><w:t xml:space="preserve">200+ KG</w:t></w:r></w:p></w:tc><w:tc><w:tcPr><w:vAlign w:val="center"/><w:noWrap/></w:tcPr><w:p><w:pPr><w:spacing w:after="0"/></w:pPr><w:r><w:rPr><w:sz w:val="20"/><w:szCs w:val="20"/><w:b w:val="0"/><w:bCs w:val="0"/></w:rPr><w:t xml:space="preserve">7</w:t></w:r></w:p></w:tc><w:tc><w:tcPr><w:vAlign w:val="center"/><w:noWrap/></w:tcPr><w:p><w:pPr><w:spacing w:after="0"/></w:pPr><w:r><w:rPr><w:sz w:val="20"/><w:szCs w:val="20"/><w:b w:val="0"/><w:bCs w:val="0"/></w:rPr><w:t xml:space="preserve">0.0%</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23,206</w:t></w:r></w:p></w:tc><w:tc><w:tcPr><w:vAlign w:val="center"/><w:shd w:val="clear" w:fill="e2e8f0"/><w:noWrap/></w:tcPr><w:p><w:pPr><w:spacing w:after="0"/></w:pPr><w:r><w:rPr><w:sz w:val="20"/><w:szCs w:val="20"/><w:b w:val="1"/><w:bCs w:val="1"/></w:rPr><w:t xml:space="preserve">100%</w:t></w:r></w:p></w:tc></w:tr></w:tbl><w:p/><w:p><w:pPr><w:pStyle w:val="Heading1"/></w:pPr><w:bookmarkStart w:id="6" w:name="_Toc6"/><w:r><w:t>5. Waste Segregation</w:t></w:r><w:bookmarkEnd w:id="6"/></w:p><w:p><w:pPr><w:spacing w:after="100"/></w:pPr><w:r><w:rPr><w:sz w:val="22"/><w:szCs w:val="22"/></w:rPr><w:t xml:space="preserve">Waste segregation compliance is a critical metric for the service contract. The following table shows the segregation status distribution:</w:t></w:r></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Segregation Type</w:t></w:r></w:p></w:tc><w:tc><w:tcPr><w:vAlign w:val="center"/><w:shd w:val="clear" w:fill="1e3a5f"/><w:noWrap/></w:tcPr><w:p><w:pPr><w:spacing w:after="0"/></w:pPr><w:r><w:rPr><w:color w:val="ffffff"/><w:sz w:val="20"/><w:szCs w:val="20"/><w:b w:val="1"/><w:bCs w:val="1"/></w:rPr><w:t xml:space="preserve">Count</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बर्गिकरण गर्दिन</w:t></w:r></w:p></w:tc><w:tc><w:tcPr><w:vAlign w:val="center"/><w:noWrap/></w:tcPr><w:p><w:pPr><w:spacing w:after="0"/></w:pPr><w:r><w:rPr><w:sz w:val="20"/><w:szCs w:val="20"/><w:b w:val="0"/><w:bCs w:val="0"/></w:rPr><w:t xml:space="preserve">7,673</w:t></w:r></w:p></w:tc><w:tc><w:tcPr><w:vAlign w:val="center"/><w:noWrap/></w:tcPr><w:p><w:pPr><w:spacing w:after="0"/></w:pPr><w:r><w:rPr><w:sz w:val="20"/><w:szCs w:val="20"/><w:b w:val="0"/><w:bCs w:val="0"/></w:rPr><w:t xml:space="preserve">41.8%</w:t></w:r></w:p></w:tc></w:tr><w:tr><w:trPr/><w:tc><w:tcPr><w:vAlign w:val="center"/><w:noWrap/></w:tcPr><w:p><w:pPr><w:spacing w:after="0"/></w:pPr><w:r><w:rPr><w:sz w:val="20"/><w:szCs w:val="20"/><w:b w:val="0"/><w:bCs w:val="0"/></w:rPr><w:t xml:space="preserve">Organic,Recyclable</w:t></w:r></w:p></w:tc><w:tc><w:tcPr><w:vAlign w:val="center"/><w:noWrap/></w:tcPr><w:p><w:pPr><w:spacing w:after="0"/></w:pPr><w:r><w:rPr><w:sz w:val="20"/><w:szCs w:val="20"/><w:b w:val="0"/><w:bCs w:val="0"/></w:rPr><w:t xml:space="preserve">6,775</w:t></w:r></w:p></w:tc><w:tc><w:tcPr><w:vAlign w:val="center"/><w:noWrap/></w:tcPr><w:p><w:pPr><w:spacing w:after="0"/></w:pPr><w:r><w:rPr><w:sz w:val="20"/><w:szCs w:val="20"/><w:b w:val="0"/><w:bCs w:val="0"/></w:rPr><w:t xml:space="preserve">36.9%</w:t></w:r></w:p></w:tc></w:tr><w:tr><w:trPr/><w:tc><w:tcPr><w:vAlign w:val="center"/><w:noWrap/></w:tcPr><w:p><w:pPr><w:spacing w:after="0"/></w:pPr><w:r><w:rPr><w:sz w:val="20"/><w:szCs w:val="20"/><w:b w:val="0"/><w:bCs w:val="0"/></w:rPr><w:t xml:space="preserve">Recyclable</w:t></w:r></w:p></w:tc><w:tc><w:tcPr><w:vAlign w:val="center"/><w:noWrap/></w:tcPr><w:p><w:pPr><w:spacing w:after="0"/></w:pPr><w:r><w:rPr><w:sz w:val="20"/><w:szCs w:val="20"/><w:b w:val="0"/><w:bCs w:val="0"/></w:rPr><w:t xml:space="preserve">2,688</w:t></w:r></w:p></w:tc><w:tc><w:tcPr><w:vAlign w:val="center"/><w:noWrap/></w:tcPr><w:p><w:pPr><w:spacing w:after="0"/></w:pPr><w:r><w:rPr><w:sz w:val="20"/><w:szCs w:val="20"/><w:b w:val="0"/><w:bCs w:val="0"/></w:rPr><w:t xml:space="preserve">14.7%</w:t></w:r></w:p></w:tc></w:tr><w:tr><w:trPr/><w:tc><w:tcPr><w:vAlign w:val="center"/><w:noWrap/></w:tcPr><w:p><w:pPr><w:spacing w:after="0"/></w:pPr><w:r><w:rPr><w:sz w:val="20"/><w:szCs w:val="20"/><w:b w:val="0"/><w:bCs w:val="0"/></w:rPr><w:t xml:space="preserve">Organic</w:t></w:r></w:p></w:tc><w:tc><w:tcPr><w:vAlign w:val="center"/><w:noWrap/></w:tcPr><w:p><w:pPr><w:spacing w:after="0"/></w:pPr><w:r><w:rPr><w:sz w:val="20"/><w:szCs w:val="20"/><w:b w:val="0"/><w:bCs w:val="0"/></w:rPr><w:t xml:space="preserve">680</w:t></w:r></w:p></w:tc><w:tc><w:tcPr><w:vAlign w:val="center"/><w:noWrap/></w:tcPr><w:p><w:pPr><w:spacing w:after="0"/></w:pPr><w:r><w:rPr><w:sz w:val="20"/><w:szCs w:val="20"/><w:b w:val="0"/><w:bCs w:val="0"/></w:rPr><w:t xml:space="preserve">3.7%</w:t></w:r></w:p></w:tc></w:tr><w:tr><w:trPr/><w:tc><w:tcPr><w:vAlign w:val="center"/><w:noWrap/></w:tcPr><w:p><w:pPr><w:spacing w:after="0"/></w:pPr><w:r><w:rPr><w:sz w:val="20"/><w:szCs w:val="20"/><w:b w:val="0"/><w:bCs w:val="0"/></w:rPr><w:t xml:space="preserve">Organic,बर्गिकरण गर्दिन</w:t></w:r></w:p></w:tc><w:tc><w:tcPr><w:vAlign w:val="center"/><w:noWrap/></w:tcPr><w:p><w:pPr><w:spacing w:after="0"/></w:pPr><w:r><w:rPr><w:sz w:val="20"/><w:szCs w:val="20"/><w:b w:val="0"/><w:bCs w:val="0"/></w:rPr><w:t xml:space="preserve">235</w:t></w:r></w:p></w:tc><w:tc><w:tcPr><w:vAlign w:val="center"/><w:noWrap/></w:tcPr><w:p><w:pPr><w:spacing w:after="0"/></w:pPr><w:r><w:rPr><w:sz w:val="20"/><w:szCs w:val="20"/><w:b w:val="0"/><w:bCs w:val="0"/></w:rPr><w:t xml:space="preserve">1.3%</w:t></w:r></w:p></w:tc></w:tr><w:tr><w:trPr/><w:tc><w:tcPr><w:vAlign w:val="center"/><w:noWrap/></w:tcPr><w:p><w:pPr><w:spacing w:after="0"/></w:pPr><w:r><w:rPr><w:sz w:val="20"/><w:szCs w:val="20"/><w:b w:val="0"/><w:bCs w:val="0"/></w:rPr><w:t xml:space="preserve">Recyclable,बर्गिकरण गर्दिन</w:t></w:r></w:p></w:tc><w:tc><w:tcPr><w:vAlign w:val="center"/><w:noWrap/></w:tcPr><w:p><w:pPr><w:spacing w:after="0"/></w:pPr><w:r><w:rPr><w:sz w:val="20"/><w:szCs w:val="20"/><w:b w:val="0"/><w:bCs w:val="0"/></w:rPr><w:t xml:space="preserve">135</w:t></w:r></w:p></w:tc><w:tc><w:tcPr><w:vAlign w:val="center"/><w:noWrap/></w:tcPr><w:p><w:pPr><w:spacing w:after="0"/></w:pPr><w:r><w:rPr><w:sz w:val="20"/><w:szCs w:val="20"/><w:b w:val="0"/><w:bCs w:val="0"/></w:rPr><w:t xml:space="preserve">0.7%</w:t></w:r></w:p></w:tc></w:tr><w:tr><w:trPr/><w:tc><w:tcPr><w:vAlign w:val="center"/><w:noWrap/></w:tcPr><w:p><w:pPr><w:spacing w:after="0"/></w:pPr><w:r><w:rPr><w:sz w:val="20"/><w:szCs w:val="20"/><w:b w:val="0"/><w:bCs w:val="0"/></w:rPr><w:t xml:space="preserve">Organic,Recyclable,बर्गिकरण गर्दिन</w:t></w:r></w:p></w:tc><w:tc><w:tcPr><w:vAlign w:val="center"/><w:noWrap/></w:tcPr><w:p><w:pPr><w:spacing w:after="0"/></w:pPr><w:r><w:rPr><w:sz w:val="20"/><w:szCs w:val="20"/><w:b w:val="0"/><w:bCs w:val="0"/></w:rPr><w:t xml:space="preserve">66</w:t></w:r></w:p></w:tc><w:tc><w:tcPr><w:vAlign w:val="center"/><w:noWrap/></w:tcPr><w:p><w:pPr><w:spacing w:after="0"/></w:pPr><w:r><w:rPr><w:sz w:val="20"/><w:szCs w:val="20"/><w:b w:val="0"/><w:bCs w:val="0"/></w:rPr><w:t xml:space="preserve">0.4%</w:t></w:r></w:p></w:tc></w:tr><w:tr><w:trPr/><w:tc><w:tcPr><w:vAlign w:val="center"/><w:noWrap/></w:tcPr><w:p><w:pPr><w:spacing w:after="0"/></w:pPr><w:r><w:rPr><w:sz w:val="20"/><w:szCs w:val="20"/><w:b w:val="0"/><w:bCs w:val="0"/></w:rPr><w:t xml:space="preserve">Hazardous</w:t></w:r></w:p></w:tc><w:tc><w:tcPr><w:vAlign w:val="center"/><w:noWrap/></w:tcPr><w:p><w:pPr><w:spacing w:after="0"/></w:pPr><w:r><w:rPr><w:sz w:val="20"/><w:szCs w:val="20"/><w:b w:val="0"/><w:bCs w:val="0"/></w:rPr><w:t xml:space="preserve">37</w:t></w:r></w:p></w:tc><w:tc><w:tcPr><w:vAlign w:val="center"/><w:noWrap/></w:tcPr><w:p><w:pPr><w:spacing w:after="0"/></w:pPr><w:r><w:rPr><w:sz w:val="20"/><w:szCs w:val="20"/><w:b w:val="0"/><w:bCs w:val="0"/></w:rPr><w:t xml:space="preserve">0.2%</w:t></w:r></w:p></w:tc></w:tr><w:tr><w:trPr/><w:tc><w:tcPr><w:vAlign w:val="center"/><w:noWrap/></w:tcPr><w:p><w:pPr><w:spacing w:after="0"/></w:pPr><w:r><w:rPr><w:sz w:val="20"/><w:szCs w:val="20"/><w:b w:val="0"/><w:bCs w:val="0"/></w:rPr><w:t xml:space="preserve">Organic,Recyclable,Hazardous</w:t></w:r></w:p></w:tc><w:tc><w:tcPr><w:vAlign w:val="center"/><w:noWrap/></w:tcPr><w:p><w:pPr><w:spacing w:after="0"/></w:pPr><w:r><w:rPr><w:sz w:val="20"/><w:szCs w:val="20"/><w:b w:val="0"/><w:bCs w:val="0"/></w:rPr><w:t xml:space="preserve">26</w:t></w:r></w:p></w:tc><w:tc><w:tcPr><w:vAlign w:val="center"/><w:noWrap/></w:tcPr><w:p><w:pPr><w:spacing w:after="0"/></w:pPr><w:r><w:rPr><w:sz w:val="20"/><w:szCs w:val="20"/><w:b w:val="0"/><w:bCs w:val="0"/></w:rPr><w:t xml:space="preserve">0.1%</w:t></w:r></w:p></w:tc></w:tr><w:tr><w:trPr/><w:tc><w:tcPr><w:vAlign w:val="center"/><w:noWrap/></w:tcPr><w:p><w:pPr><w:spacing w:after="0"/></w:pPr><w:r><w:rPr><w:sz w:val="20"/><w:szCs w:val="20"/><w:b w:val="0"/><w:bCs w:val="0"/></w:rPr><w:t xml:space="preserve">Recyclable,Hazardous</w:t></w:r></w:p></w:tc><w:tc><w:tcPr><w:vAlign w:val="center"/><w:noWrap/></w:tcPr><w:p><w:pPr><w:spacing w:after="0"/></w:pPr><w:r><w:rPr><w:sz w:val="20"/><w:szCs w:val="20"/><w:b w:val="0"/><w:bCs w:val="0"/></w:rPr><w:t xml:space="preserve">21</w:t></w:r></w:p></w:tc><w:tc><w:tcPr><w:vAlign w:val="center"/><w:noWrap/></w:tcPr><w:p><w:pPr><w:spacing w:after="0"/></w:pPr><w:r><w:rPr><w:sz w:val="20"/><w:szCs w:val="20"/><w:b w:val="0"/><w:bCs w:val="0"/></w:rPr><w:t xml:space="preserve">0.1%</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18,336</w:t></w:r></w:p></w:tc><w:tc><w:tcPr><w:vAlign w:val="center"/><w:shd w:val="clear" w:fill="e2e8f0"/><w:noWrap/></w:tcPr><w:p><w:pPr><w:spacing w:after="0"/></w:pPr><w:r><w:rPr><w:sz w:val="20"/><w:szCs w:val="20"/><w:b w:val="1"/><w:bCs w:val="1"/></w:rPr><w:t xml:space="preserve">100%</w:t></w:r></w:p></w:tc></w:tr></w:tbl><w:p/><w:p><w:pPr><w:pStyle w:val="Heading1"/></w:pPr><w:bookmarkStart w:id="7" w:name="_Toc7"/><w:r><w:t>6. Problems and Challenges</w:t></w:r><w:bookmarkEnd w:id="7"/></w:p><w:p><w:pPr><w:spacing w:after="60"/><w:numPr><w:ilvl w:val="0"/><w:numId w:val="6"/></w:numPr></w:pPr><w:r><w:rPr><w:sz w:val="22"/><w:szCs w:val="22"/></w:rPr><w:t xml:space="preserve">Owner absence during survey visits necessitated data collection from workers or tenants, potentially reducing data accuracy for certain records.</w:t></w:r></w:p><w:p><w:pPr><w:spacing w:after="60"/><w:numPr><w:ilvl w:val="0"/><w:numId w:val="6"/></w:numPr></w:pPr><w:r><w:rPr><w:sz w:val="22"/><w:szCs w:val="22"/></w:rPr><w:t xml:space="preserve">GPS accuracy variation of ±50 meters in dense urban areas and narrow lanes affected precise location recording.</w:t></w:r></w:p><w:p><w:pPr><w:spacing w:after="60"/><w:numPr><w:ilvl w:val="0"/><w:numId w:val="6"/></w:numPr></w:pPr><w:r><w:rPr><w:sz w:val="22"/><w:szCs w:val="22"/></w:rPr><w:t xml:space="preserve">Significant portion of records with unknown/unrecorded segregation status limits accurate assessment of actual segregation behavior.</w:t></w:r></w:p><w:p><w:pPr><w:spacing w:after="60"/><w:numPr><w:ilvl w:val="0"/><w:numId w:val="6"/></w:numPr></w:pPr><w:r><w:rPr><w:sz w:val="22"/><w:szCs w:val="22"/></w:rPr><w:t xml:space="preserve">Multilingual data entry inconsistencies (Nepali/English) in TypeID and Tole fields required extensive post-processing for standardization.</w:t></w:r></w:p><w:p><w:pPr><w:spacing w:after="60"/><w:numPr><w:ilvl w:val="0"/><w:numId w:val="6"/></w:numPr></w:pPr><w:r><w:rPr><w:sz w:val="22"/><w:szCs w:val="22"/></w:rPr><w:t xml:space="preserve">High volume of "0-5 kg" responses may partially reflect estimation difficulty rather than actual generation amounts for some generators.</w:t></w:r></w:p><w:p><w:pPr><w:spacing w:after="60"/><w:numPr><w:ilvl w:val="0"/><w:numId w:val="6"/></w:numPr></w:pPr><w:r><w:rPr><w:sz w:val="22"/><w:szCs w:val="22"/></w:rPr><w:t xml:space="preserve">Commercial establishments with PAN/VAT incomplete entries limit verification of business identity and fee schedule applicability.</w:t></w:r></w:p><w:p><w:pPr><w:spacing w:after="60"/><w:numPr><w:ilvl w:val="0"/><w:numId w:val="6"/></w:numPr></w:pPr><w:r><w:rPr><w:sz w:val="22"/><w:szCs w:val="22"/></w:rPr><w:t xml:space="preserve">Some localities (Toles) had very low survey representation, indicating potential coverage gaps in certain sub-areas.</w:t></w:r></w:p><w:p><w:pPr><w:spacing w:after="60"/><w:numPr><w:ilvl w:val="0"/><w:numId w:val="6"/></w:numPr></w:pPr><w:r><w:rPr><w:sz w:val="22"/><w:szCs w:val="22"/></w:rPr><w:t xml:space="preserve">Duplicate records and incomplete entries were identified during data cleaning — these were resolved by the validation team but indicate field-level quality control gaps.</w:t></w:r></w:p><w:p/><w:p><w:pPr><w:pStyle w:val="Heading1"/></w:pPr><w:bookmarkStart w:id="8" w:name="_Toc8"/><w:r><w:t>7. Possible Solutions</w:t></w:r><w:bookmarkEnd w:id="8"/></w:p><w:p><w:pPr><w:spacing w:after="60"/><w:numPr><w:ilvl w:val="0"/><w:numId w:val="6"/></w:numPr></w:pPr><w:r><w:rPr><w:sz w:val="22"/><w:szCs w:val="22"/></w:rPr><w:t xml:space="preserve">Implement real-time data validation in the mobile application to flag incomplete entries before submission.</w:t></w:r></w:p><w:p><w:pPr><w:spacing w:after="60"/><w:numPr><w:ilvl w:val="0"/><w:numId w:val="6"/></w:numPr></w:pPr><w:r><w:rPr><w:sz w:val="22"/><w:szCs w:val="22"/></w:rPr><w:t xml:space="preserve">Introduce GPS-assisted Tole mapping to improve location accuracy and enable automatic ward/zone assignment.</w:t></w:r></w:p><w:p><w:pPr><w:spacing w:after="60"/><w:numPr><w:ilvl w:val="0"/><w:numId w:val="6"/></w:numPr></w:pPr><w:r><w:rPr><w:sz w:val="22"/><w:szCs w:val="22"/></w:rPr><w:t xml:space="preserve">Develop a pre-survey household notification system to reduce owner absence during field visits.</w:t></w:r></w:p><w:p><w:pPr><w:spacing w:after="60"/><w:numPr><w:ilvl w:val="0"/><w:numId w:val="6"/></w:numPr></w:pPr><w:r><w:rPr><w:sz w:val="22"/><w:szCs w:val="22"/></w:rPr><w:t xml:space="preserve">Standardize TypeID and Tole name dictionaries in the data collection app to eliminate multilingual inconsistencies.</w:t></w:r></w:p><w:p><w:pPr><w:spacing w:after="60"/><w:numPr><w:ilvl w:val="0"/><w:numId w:val="6"/></w:numPr></w:pPr><w:r><w:rPr><w:sz w:val="22"/><w:szCs w:val="22"/></w:rPr><w:t xml:space="preserve">Conduct follow-up verification surveys for records flagged as collected from proxy respondents.</w:t></w:r></w:p><w:p><w:pPr><w:spacing w:after="60"/><w:numPr><w:ilvl w:val="0"/><w:numId w:val="6"/></w:numPr></w:pPr><w:r><w:rPr><w:sz w:val="22"/><w:szCs w:val="22"/></w:rPr><w:t xml:space="preserve">Strengthen ward office coordination protocols to ensure consistent institutional support across all wards.</w:t></w:r></w:p><w:p><w:pPr><w:spacing w:after="60"/><w:numPr><w:ilvl w:val="0"/><w:numId w:val="6"/></w:numPr></w:pPr><w:r><w:rPr><w:sz w:val="22"/><w:szCs w:val="22"/></w:rPr><w:t xml:space="preserve">Introduce weight-based estimation training for enumerators to improve accuracy in the 0-5 kg category.</w:t></w:r></w:p><w:p><w:pPr><w:spacing w:after="60"/><w:numPr><w:ilvl w:val="0"/><w:numId w:val="6"/></w:numPr></w:pPr><w:r><w:rPr><w:sz w:val="22"/><w:szCs w:val="22"/></w:rPr><w:t xml:space="preserve">Create a digital dashboard for real-time monitoring of collection progress, enabling immediate corrective action.</w:t></w:r></w:p><w:p><w:r><w:br w:type="page"/></w:r></w:p><w:p><w:pPr><w:spacing w:after="200"/></w:pPr><w:r><w:rPr><w:color w:val="166534"/><w:sz w:val="28"/><w:szCs w:val="28"/><w:b w:val="1"/><w:bCs w:val="1"/><w:smallCaps w:val="0"/><w:caps w:val="1"/></w:rPr><w:t xml:space="preserve">MODULE: GARBAGE VULNERABLE POINTS (GVP)</w:t></w:r></w:p><w:p><w:pPr><w:pStyle w:val="Heading1"/></w:pPr><w:bookmarkStart w:id="9" w:name="_Toc9"/><w:r><w:t>1. Introduction (GVP Module)</w:t></w:r><w:bookmarkEnd w:id="9"/></w:p><w:p><w:pPr><w:spacing w:after="120"/></w:pPr><w:r><w:rPr><w:sz w:val="22"/><w:szCs w:val="22"/></w:rPr><w:t xml:space="preserve">Garbage Vulnerable Points (GVPs) are locations in the urban environment where waste is irregularly dumped in public spaces, creating health hazards, environmental pollution, and aesthetic degradation. These sites are typically found under bridges, along drainage channels (nalas), on open land, at street corners, and in other unmonitored locations. Identifying and eliminating GVPs is a key component of KMC's urban waste management strategy for Cluster 1.</w:t></w:r></w:p><w:p><w:pPr><w:pStyle w:val="Heading1"/></w:pPr><w:bookmarkStart w:id="10" w:name="_Toc10"/><w:r><w:t>2. Objectives</w:t></w:r><w:bookmarkEnd w:id="10"/></w:p><w:p><w:pPr><w:spacing w:after="60"/><w:numPr><w:ilvl w:val="0"/><w:numId w:val="6"/></w:numPr></w:pPr><w:r><w:rPr><w:sz w:val="22"/><w:szCs w:val="22"/></w:rPr><w:t xml:space="preserve">Identify and map all active GVP locations within Cluster 1 (Wards 2, 3, 4, 5, 7)</w:t></w:r></w:p><w:p><w:pPr><w:spacing w:after="60"/><w:numPr><w:ilvl w:val="0"/><w:numId w:val="6"/></w:numPr></w:pPr><w:r><w:rPr><w:sz w:val="22"/><w:szCs w:val="22"/></w:rPr><w:t xml:space="preserve">Assess the type, volume, and frequency of illegal dumping at each GVP site</w:t></w:r></w:p><w:p><w:pPr><w:spacing w:after="60"/><w:numPr><w:ilvl w:val="0"/><w:numId w:val="6"/></w:numPr></w:pPr><w:r><w:rPr><w:sz w:val="22"/><w:szCs w:val="22"/></w:rPr><w:t xml:space="preserve">Prioritize sites for immediate clean-up and long-term prevention measures</w:t></w:r></w:p><w:p><w:pPr><w:spacing w:after="60"/><w:numPr><w:ilvl w:val="0"/><w:numId w:val="6"/></w:numPr></w:pPr><w:r><w:rPr><w:sz w:val="22"/><w:szCs w:val="22"/></w:rPr><w:t xml:space="preserve">Establish a monitoring and tracking system for GVP elimination and recurrence prevention</w:t></w:r></w:p><w:p><w:pPr><w:spacing w:after="60"/><w:numPr><w:ilvl w:val="0"/><w:numId w:val="6"/></w:numPr></w:pPr><w:r><w:rPr><w:sz w:val="22"/><w:szCs w:val="22"/></w:rPr><w:t xml:space="preserve">Provide data-driven recommendations for community engagement and enforcement actions</w:t></w:r></w:p><w:p><w:pPr><w:pStyle w:val="Heading1"/></w:pPr><w:bookmarkStart w:id="11" w:name="_Toc11"/><w:r><w:t>3. Collection Methods</w:t></w:r><w:bookmarkEnd w:id="11"/></w:p><w:p><w:pPr><w:spacing w:after="60"/><w:numPr><w:ilvl w:val="0"/><w:numId w:val="6"/></w:numPr></w:pPr><w:r><w:rPr><w:sz w:val="22"/><w:szCs w:val="22"/></w:rPr><w:t xml:space="preserve">Direct field observation by trained surveyors during the waste data collection period</w:t></w:r></w:p><w:p><w:pPr><w:spacing w:after="60"/><w:numPr><w:ilvl w:val="0"/><w:numId w:val="6"/></w:numPr></w:pPr><w:r><w:rPr><w:sz w:val="22"/><w:szCs w:val="22"/></w:rPr><w:t xml:space="preserve">Community reporting: respondents asked to identify known illegal dumping locations during survey interviews</w:t></w:r></w:p><w:p><w:pPr><w:spacing w:after="60"/><w:numPr><w:ilvl w:val="0"/><w:numId w:val="6"/></w:numPr></w:pPr><w:r><w:rPr><w:sz w:val="22"/><w:szCs w:val="22"/></w:rPr><w:t xml:space="preserve">GPS-tagged photography for each identified GVP site</w:t></w:r></w:p><w:p><w:pPr><w:spacing w:after="60"/><w:numPr><w:ilvl w:val="0"/><w:numId w:val="6"/></w:numPr></w:pPr><w:r><w:rPr><w:sz w:val="22"/><w:szCs w:val="22"/></w:rPr><w:t xml:space="preserve">Cross-verification with ward office records and local community feedback</w:t></w:r></w:p><w:p><w:pPr><w:spacing w:after="60"/><w:numPr><w:ilvl w:val="0"/><w:numId w:val="6"/></w:numPr></w:pPr><w:r><w:rPr><w:sz w:val="22"/><w:szCs w:val="22"/></w:rPr><w:t xml:space="preserve">Classification and categorization by type and estimated volume upon data compilation</w:t></w:r></w:p><w:p><w:pPr><w:pStyle w:val="Heading1"/></w:pPr><w:bookmarkStart w:id="12" w:name="_Toc12"/><w:r><w:t>4. Results and Findings</w:t></w:r><w:bookmarkEnd w:id="12"/></w:p><w:p><w:pPr><w:spacing w:after="120"/></w:pPr><w:r><w:rPr><w:sz w:val="22"/><w:szCs w:val="22"/></w:rPr><w:t xml:space="preserve">A total of 0 GVP survey records were collected across Cluster 1 during the survey period. Of these, 0 (0%) are valid licensed collection points and 0 (0%) are identified illegal dumping sites.</w:t></w:r></w:p><w:p/><w:p><w:pPr><w:pStyle w:val="Heading1"/></w:pPr><w:bookmarkStart w:id="13" w:name="_Toc13"/><w:r><w:t>5. Possible Solutions to Solve GVP</w:t></w:r><w:bookmarkEnd w:id="13"/></w:p><w:p><w:pPr><w:spacing w:after="60"/><w:numPr><w:ilvl w:val="0"/><w:numId w:val="6"/></w:numPr></w:pPr><w:r><w:rPr><w:sz w:val="22"/><w:szCs w:val="22"/></w:rPr><w:t xml:space="preserve">Deploy collection vehicles on regular daily routes passing GVP hotspots to reduce accumulation</w:t></w:r></w:p><w:p><w:pPr><w:spacing w:after="60"/><w:numPr><w:ilvl w:val="0"/><w:numId w:val="6"/></w:numPr></w:pPr><w:r><w:rPr><w:sz w:val="22"/><w:szCs w:val="22"/></w:rPr><w:t xml:space="preserve">Install lockable community bins at high-frequency dumping locations</w:t></w:r></w:p><w:p><w:pPr><w:spacing w:after="60"/><w:numPr><w:ilvl w:val="0"/><w:numId w:val="6"/></w:numPr></w:pPr><w:r><w:rPr><w:sz w:val="22"/><w:szCs w:val="22"/></w:rPr><w:t xml:space="preserve">Erect signage and barriers at known GVP sites to deter illegal dumping</w:t></w:r></w:p><w:p><w:pPr><w:spacing w:after="60"/><w:numPr><w:ilvl w:val="0"/><w:numId w:val="6"/></w:numPr></w:pPr><w:r><w:rPr><w:sz w:val="22"/><w:szCs w:val="22"/></w:rPr><w:t xml:space="preserve">Engage ward offices and community groups to take ownership of local GVP monitoring</w:t></w:r></w:p><w:p><w:pPr><w:spacing w:after="60"/><w:numPr><w:ilvl w:val="0"/><w:numId w:val="6"/></w:numPr></w:pPr><w:r><w:rPr><w:sz w:val="22"/><w:szCs w:val="22"/></w:rPr><w:t xml:space="preserve">Apply and enforce KMC littering fines for repeat offenders at documented GVP sites</w:t></w:r></w:p><w:p><w:pPr><w:spacing w:after="60"/><w:numPr><w:ilvl w:val="0"/><w:numId w:val="6"/></w:numPr></w:pPr><w:r><w:rPr><w:sz w:val="22"/><w:szCs w:val="22"/></w:rPr><w:t xml:space="preserve">Conduct community clean-up events at priority GVP sites with IEC activities</w:t></w:r></w:p><w:p><w:pPr><w:spacing w:after="60"/><w:numPr><w:ilvl w:val="0"/><w:numId w:val="6"/></w:numPr></w:pPr><w:r><w:rPr><w:sz w:val="22"/><w:szCs w:val="22"/></w:rPr><w:t xml:space="preserve">Coordinate with police for spot fining at persistent hotspots under bridges and drainage channels</w:t></w:r></w:p><w:p><w:pPr><w:spacing w:after="60"/><w:numPr><w:ilvl w:val="0"/><w:numId w:val="6"/></w:numPr></w:pPr><w:r><w:rPr><w:sz w:val="22"/><w:szCs w:val="22"/></w:rPr><w:t xml:space="preserve">Convert cleared GVP sites to community green spaces or bin centers to prevent reoccurrence</w:t></w:r></w:p><w:p/><w:p><w:pPr><w:pStyle w:val="Heading1"/></w:pPr><w:bookmarkStart w:id="14" w:name="_Toc14"/><w:r><w:t>6. Ways to Track Solved and New GVPs</w:t></w:r><w:bookmarkEnd w:id="14"/></w:p><w:p><w:pPr><w:spacing w:after="60"/><w:numPr><w:ilvl w:val="0"/><w:numId w:val="6"/></w:numPr></w:pPr><w:r><w:rPr><w:sz w:val="22"/><w:szCs w:val="22"/></w:rPr><w:t xml:space="preserve">GPS-tagged before-and-after photographs to document GVP clearance</w:t></w:r></w:p><w:p><w:pPr><w:spacing w:after="60"/><w:numPr><w:ilvl w:val="0"/><w:numId w:val="6"/></w:numPr></w:pPr><w:r><w:rPr><w:sz w:val="22"/><w:szCs w:val="22"/></w:rPr><w:t xml:space="preserve">Monthly GVP status report submitted by service provider with photographic evidence</w:t></w:r></w:p><w:p><w:pPr><w:spacing w:after="60"/><w:numPr><w:ilvl w:val="0"/><w:numId w:val="6"/></w:numPr></w:pPr><w:r><w:rPr><w:sz w:val="22"/><w:szCs w:val="22"/></w:rPr><w:t xml:space="preserve">Community feedback line and ward office reporting for new GVP sites</w:t></w:r></w:p><w:p><w:pPr><w:spacing w:after="60"/><w:numPr><w:ilvl w:val="0"/><w:numId w:val="6"/></w:numPr></w:pPr><w:r><w:rPr><w:sz w:val="22"/><w:szCs w:val="22"/></w:rPr><w:t xml:space="preserve">KMC field inspection team conducting quarterly verification visits to previously solved GVPs</w:t></w:r></w:p><w:p><w:pPr><w:spacing w:after="60"/><w:numPr><w:ilvl w:val="0"/><w:numId w:val="6"/></w:numPr></w:pPr><w:r><w:rPr><w:sz w:val="22"/><w:szCs w:val="22"/></w:rPr><w:t xml:space="preserve">Integration with KMC real-time dashboard to flag GVP status (Active / Cleared / Recurrent)</w:t></w:r></w:p><w:p><w:pPr><w:spacing w:after="60"/><w:numPr><w:ilvl w:val="0"/><w:numId w:val="6"/></w:numPr></w:pPr><w:r><w:rPr><w:sz w:val="22"/><w:szCs w:val="22"/></w:rPr><w:t xml:space="preserve">Inclusion of GVP elimination rate in service provider monthly KPI scorecard (20% weight)</w:t></w:r></w:p><w:p/><w:p><w:pPr><w:pStyle w:val="Heading1"/></w:pPr><w:bookmarkStart w:id="15" w:name="_Toc15"/><w:r><w:t>7. Conclusions</w:t></w:r><w:bookmarkEnd w:id="15"/></w:p><w:p><w:pPr/><w:r><w:rPr><w:sz w:val="22"/><w:szCs w:val="22"/></w:rPr><w:t xml:space="preserve">The GVP survey for Cluster 1 documented 0 records across 5 wards, identifying 0 confirmed illegal dumping sites (0% of total) and 0 valid licensed collection points (0%). Successful GVP elimination requires a combination of infrastructure (bins, barriers, signage), enforcement (fines, police presence), service improvement (collection frequency and route coverage), and community engagement (IEC, local ownership).</w:t></w:r></w:p><w:p><w:r><w:br w:type="page"/></w:r></w:p><w:p><w:pPr><w:spacing w:after="200"/></w:pPr><w:r><w:rPr><w:color w:val="dc2626"/><w:sz w:val="28"/><w:szCs w:val="28"/><w:b w:val="1"/><w:bCs w:val="1"/><w:smallCaps w:val="0"/><w:caps w:val="1"/></w:rPr><w:t xml:space="preserve">MODULE: ROAD NETWORK ANALYSIS</w:t></w:r></w:p><w:p><w:pPr><w:pStyle w:val="Heading1"/></w:pPr><w:bookmarkStart w:id="16" w:name="_Toc16"/><w:r><w:t>1. Introduction</w:t></w:r><w:bookmarkEnd w:id="16"/></w:p><w:p><w:pPr><w:spacing w:after="120"/></w:pPr><w:r><w:rPr><w:sz w:val="22"/><w:szCs w:val="22"/></w:rPr><w:t xml:space="preserve">Road network data for Cluster 1 was collected and analyzed to support waste collection vehicle deployment planning. Understanding road widths, surface types, pavement conditions, and accessibility is essential for selecting appropriate vehicle types and designing efficient collection routes.</w:t></w:r></w:p><w:p><w:pPr><w:pStyle w:val="Heading1"/></w:pPr><w:bookmarkStart w:id="17" w:name="_Toc17"/><w:r><w:t>2. Objectives</w:t></w:r><w:bookmarkEnd w:id="17"/></w:p><w:p><w:pPr><w:spacing w:after="60"/><w:numPr><w:ilvl w:val="0"/><w:numId w:val="6"/></w:numPr></w:pPr><w:r><w:rPr><w:sz w:val="22"/><w:szCs w:val="22"/></w:rPr><w:t xml:space="preserve">Map and classify the road network within Cluster 1 by width, surface type, and pavement condition</w:t></w:r></w:p><w:p><w:pPr><w:spacing w:after="60"/><w:numPr><w:ilvl w:val="0"/><w:numId w:val="6"/></w:numPr></w:pPr><w:r><w:rPr><w:sz w:val="22"/><w:szCs w:val="22"/></w:rPr><w:t xml:space="preserve">Identify road segments accessible to different vehicle types for waste collection operations</w:t></w:r></w:p><w:p><w:pPr><w:spacing w:after="60"/><w:numPr><w:ilvl w:val="0"/><w:numId w:val="6"/></w:numPr></w:pPr><w:r><w:rPr><w:sz w:val="22"/><w:szCs w:val="22"/></w:rPr><w:t xml:space="preserve">Determine primary, secondary, and tertiary collection zones based on road accessibility</w:t></w:r></w:p><w:p><w:pPr><w:spacing w:after="60"/><w:numPr><w:ilvl w:val="0"/><w:numId w:val="6"/></w:numPr></w:pPr><w:r><w:rPr><w:sz w:val="22"/><w:szCs w:val="22"/></w:rPr><w:t xml:space="preserve">Provide operational recommendations for vehicle deployment based on road network characteristics</w:t></w:r></w:p><w:p><w:pPr><w:pStyle w:val="Heading1"/></w:pPr><w:bookmarkStart w:id="18" w:name="_Toc18"/><w:r><w:t>3. Road Network Overview</w:t></w:r><w:bookmarkEnd w:id="18"/></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Metric</w:t></w:r></w:p></w:tc><w:tc><w:tcPr><w:vAlign w:val="center"/><w:shd w:val="clear" w:fill="1e3a5f"/><w:noWrap/></w:tcPr><w:p><w:pPr><w:spacing w:after="0"/></w:pPr><w:r><w:rPr><w:color w:val="ffffff"/><w:sz w:val="20"/><w:szCs w:val="20"/><w:b w:val="1"/><w:bCs w:val="1"/></w:rPr><w:t xml:space="preserve">Value</w:t></w:r></w:p></w:tc><w:tc><w:tcPr><w:vAlign w:val="center"/><w:shd w:val="clear" w:fill="1e3a5f"/><w:noWrap/></w:tcPr><w:p><w:pPr><w:spacing w:after="0"/></w:pPr><w:r><w:rPr><w:color w:val="ffffff"/><w:sz w:val="20"/><w:szCs w:val="20"/><w:b w:val="1"/><w:bCs w:val="1"/></w:rPr><w:t xml:space="preserve">Notes</w:t></w:r></w:p></w:tc></w:tr><w:tr><w:trPr/><w:tc><w:tcPr><w:vAlign w:val="center"/><w:noWrap/></w:tcPr><w:p><w:pPr><w:spacing w:after="0"/></w:pPr><w:r><w:rPr><w:sz w:val="20"/><w:szCs w:val="20"/><w:b w:val="0"/><w:bCs w:val="0"/></w:rPr><w:t xml:space="preserve">Total Road Length</w:t></w:r></w:p></w:tc><w:tc><w:tcPr><w:vAlign w:val="center"/><w:noWrap/></w:tcPr><w:p><w:pPr><w:spacing w:after="0"/></w:pPr><w:r><w:rPr><w:sz w:val="20"/><w:szCs w:val="20"/><w:b w:val="0"/><w:bCs w:val="0"/></w:rPr><w:t xml:space="preserve">0.00 km</w:t></w:r></w:p></w:tc><w:tc><w:tcPr><w:vAlign w:val="center"/><w:noWrap/></w:tcPr><w:p><w:pPr><w:spacing w:after="0"/></w:pPr><w:r><w:rPr><w:sz w:val="20"/><w:szCs w:val="20"/><w:b w:val="0"/><w:bCs w:val="0"/></w:rPr><w:t xml:space="preserve">All ward roads combined</w:t></w:r></w:p></w:tc></w:tr><w:tr><w:trPr/><w:tc><w:tcPr><w:vAlign w:val="center"/><w:noWrap/></w:tcPr><w:p><w:pPr><w:spacing w:after="0"/></w:pPr><w:r><w:rPr><w:sz w:val="20"/><w:szCs w:val="20"/><w:b w:val="0"/><w:bCs w:val="0"/></w:rPr><w:t xml:space="preserve">Total Road Segments</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GIS-analyzed segments</w:t></w:r></w:p></w:tc></w:tr><w:tr><w:trPr/><w:tc><w:tcPr><w:vAlign w:val="center"/><w:noWrap/></w:tcPr><w:p><w:pPr><w:spacing w:after="0"/></w:pPr><w:r><w:rPr><w:sz w:val="20"/><w:szCs w:val="20"/><w:b w:val="0"/><w:bCs w:val="0"/></w:rPr><w:t xml:space="preserve">Road Coverage per km²</w:t></w:r></w:p></w:tc><w:tc><w:tcPr><w:vAlign w:val="center"/><w:noWrap/></w:tcPr><w:p><w:pPr><w:spacing w:after="0"/></w:pPr><w:r><w:rPr><w:sz w:val="20"/><w:szCs w:val="20"/><w:b w:val="0"/><w:bCs w:val="0"/></w:rPr><w:t xml:space="preserve">0.00 km/km²</w:t></w:r></w:p></w:tc><w:tc><w:tcPr><w:vAlign w:val="center"/><w:noWrap/></w:tcPr><w:p><w:pPr><w:spacing w:after="0"/></w:pPr><w:r><w:rPr><w:sz w:val="20"/><w:szCs w:val="20"/><w:b w:val="0"/><w:bCs w:val="0"/></w:rPr><w:t xml:space="preserve">Cluster area: 9.162 km²</w:t></w:r></w:p></w:tc></w:tr><w:tr><w:trPr/><w:tc><w:tcPr><w:vAlign w:val="center"/><w:noWrap/></w:tcPr><w:p><w:pPr><w:spacing w:after="0"/></w:pPr><w:r><w:rPr><w:sz w:val="20"/><w:szCs w:val="20"/><w:b w:val="0"/><w:bCs w:val="0"/></w:rPr><w:t xml:space="preserve">Narrowest Roads (&lt; 4m)</w:t></w:r></w:p></w:tc><w:tc><w:tcPr><w:vAlign w:val="center"/><w:noWrap/></w:tcPr><w:p><w:pPr><w:spacing w:after="0"/></w:pPr><w:r><w:rPr><w:sz w:val="20"/><w:szCs w:val="20"/><w:b w:val="0"/><w:bCs w:val="0"/></w:rPr><w:t xml:space="preserve">0.00 km (0%)</w:t></w:r></w:p></w:tc><w:tc><w:tcPr><w:vAlign w:val="center"/><w:noWrap/></w:tcPr><w:p><w:pPr><w:spacing w:after="0"/></w:pPr><w:r><w:rPr><w:sz w:val="20"/><w:szCs w:val="20"/><w:b w:val="0"/><w:bCs w:val="0"/></w:rPr><w:t xml:space="preserve">Requires light vehicles</w:t></w:r></w:p></w:tc></w:tr><w:tr><w:trPr/><w:tc><w:tcPr><w:vAlign w:val="center"/><w:noWrap/></w:tcPr><w:p><w:pPr><w:spacing w:after="0"/></w:pPr><w:r><w:rPr><w:sz w:val="20"/><w:szCs w:val="20"/><w:b w:val="0"/><w:bCs w:val="0"/></w:rPr><w:t xml:space="preserve">Widest Roads (&gt; 10m)</w:t></w:r></w:p></w:tc><w:tc><w:tcPr><w:vAlign w:val="center"/><w:noWrap/></w:tcPr><w:p><w:pPr><w:spacing w:after="0"/></w:pPr><w:r><w:rPr><w:sz w:val="20"/><w:szCs w:val="20"/><w:b w:val="0"/><w:bCs w:val="0"/></w:rPr><w:t xml:space="preserve">0.00 km (0%)</w:t></w:r></w:p></w:tc><w:tc><w:tcPr><w:vAlign w:val="center"/><w:noWrap/></w:tcPr><w:p><w:pPr><w:spacing w:after="0"/></w:pPr><w:r><w:rPr><w:sz w:val="20"/><w:szCs w:val="20"/><w:b w:val="0"/><w:bCs w:val="0"/></w:rPr><w:t xml:space="preserve">Major arterials only</w:t></w:r></w:p></w:tc></w:tr></w:tbl><w:p/><w:p><w:pPr><w:pStyle w:val="Heading2"/></w:pPr><w:bookmarkStart w:id="19" w:name="_Toc19"/><w:r><w:t>4. Road Classification Analysis</w:t></w:r><w:bookmarkEnd w:id="19"/></w:p><w:tbl><w:tblGrid><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Road Width Category</w:t></w:r></w:p></w:tc><w:tc><w:tcPr><w:vAlign w:val="center"/><w:shd w:val="clear" w:fill="1e3a5f"/><w:noWrap/></w:tcPr><w:p><w:pPr><w:spacing w:after="0"/></w:pPr><w:r><w:rPr><w:color w:val="ffffff"/><w:sz w:val="20"/><w:szCs w:val="20"/><w:b w:val="1"/><w:bCs w:val="1"/></w:rPr><w:t xml:space="preserve">Length (km)</w:t></w:r></w:p></w:tc><w:tc><w:tcPr><w:vAlign w:val="center"/><w:shd w:val="clear" w:fill="1e3a5f"/><w:noWrap/></w:tcPr><w:p><w:pPr><w:spacing w:after="0"/></w:pPr><w:r><w:rPr><w:color w:val="ffffff"/><w:sz w:val="20"/><w:szCs w:val="20"/><w:b w:val="1"/><w:bCs w:val="1"/></w:rPr><w:t xml:space="preserve">Share (%)</w:t></w:r></w:p></w:tc><w:tc><w:tcPr><w:vAlign w:val="center"/><w:shd w:val="clear" w:fill="1e3a5f"/><w:noWrap/></w:tcPr><w:p><w:pPr><w:spacing w:after="0"/></w:pPr><w:r><w:rPr><w:color w:val="ffffff"/><w:sz w:val="20"/><w:szCs w:val="20"/><w:b w:val="1"/><w:bCs w:val="1"/></w:rPr><w:t xml:space="preserve">Recommended Vehicle</w:t></w:r></w:p></w:tc></w:tr><w:tr><w:trPr/><w:tc><w:tcPr><w:vAlign w:val="center"/><w:noWrap/></w:tcPr><w:p><w:pPr><w:spacing w:after="0"/></w:pPr><w:r><w:rPr><w:sz w:val="20"/><w:szCs w:val="20"/><w:b w:val="0"/><w:bCs w:val="0"/></w:rPr><w:t xml:space="preserve">&lt; 4m — Narrow lanes &amp; alleys</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E-rickshaw / Tricycle garbage rickshaw</w:t></w:r></w:p></w:tc></w:tr><w:tr><w:trPr/><w:tc><w:tcPr><w:vAlign w:val="center"/><w:noWrap/></w:tcPr><w:p><w:pPr><w:spacing w:after="0"/></w:pPr><w:r><w:rPr><w:sz w:val="20"/><w:szCs w:val="20"/><w:b w:val="0"/><w:bCs w:val="0"/></w:rPr><w:t xml:space="preserve">4-6m — Local collector roads</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3.3 CUM 4-compartment tipper</w:t></w:r></w:p></w:tc></w:tr><w:tr><w:trPr/><w:tc><w:tcPr><w:vAlign w:val="center"/><w:noWrap/></w:tcPr><w:p><w:pPr><w:spacing w:after="0"/></w:pPr><w:r><w:rPr><w:sz w:val="20"/><w:szCs w:val="20"/><w:b w:val="0"/><w:bCs w:val="0"/></w:rPr><w:t xml:space="preserve">6-10m — Secondary roads</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Bulk / compactor vehicle</w:t></w:r></w:p></w:tc></w:tr><w:tr><w:trPr/><w:tc><w:tcPr><w:vAlign w:val="center"/><w:noWrap/></w:tcPr><w:p><w:pPr><w:spacing w:after="0"/></w:pPr><w:r><w:rPr><w:sz w:val="20"/><w:szCs w:val="20"/><w:b w:val="0"/><w:bCs w:val="0"/></w:rPr><w:t xml:space="preserve">&gt; 10m — Major arterial roads</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Compactor / bulk vehicle</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0.00 km</w:t></w:r></w:p></w:tc><w:tc><w:tcPr><w:vAlign w:val="center"/><w:shd w:val="clear" w:fill="e2e8f0"/><w:noWrap/></w:tcPr><w:p><w:pPr><w:spacing w:after="0"/></w:pPr><w:r><w:rPr><w:sz w:val="20"/><w:szCs w:val="20"/><w:b w:val="1"/><w:bCs w:val="1"/></w:rPr><w:t xml:space="preserve">100%</w:t></w:r></w:p></w:tc><w:tc><w:tcPr><w:vAlign w:val="center"/><w:shd w:val="clear" w:fill="e2e8f0"/><w:noWrap/></w:tcPr><w:p><w:pPr><w:spacing w:after="0"/></w:pPr><w:r><w:rPr><w:sz w:val="20"/><w:szCs w:val="20"/><w:b w:val="1"/><w:bCs w:val="1"/></w:rPr><w:t xml:space="preserve">—</w:t></w:r></w:p></w:tc></w:tr></w:tbl><w:p/><w:p><w:pPr><w:pStyle w:val="Heading2"/></w:pPr><w:bookmarkStart w:id="20" w:name="_Toc20"/><w:r><w:t>4.1 Surface Type Distribution</w:t></w:r><w:bookmarkEnd w:id="20"/></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Surface Type</w:t></w:r></w:p></w:tc><w:tc><w:tcPr><w:vAlign w:val="center"/><w:shd w:val="clear" w:fill="1e3a5f"/><w:noWrap/></w:tcPr><w:p><w:pPr><w:spacing w:after="0"/></w:pPr><w:r><w:rPr><w:color w:val="ffffff"/><w:sz w:val="20"/><w:szCs w:val="20"/><w:b w:val="1"/><w:bCs w:val="1"/></w:rPr><w:t xml:space="preserve">Length (km)</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Black Topped</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r><w:tr><w:trPr/><w:tc><w:tcPr><w:vAlign w:val="center"/><w:noWrap/></w:tcPr><w:p><w:pPr><w:spacing w:after="0"/></w:pPr><w:r><w:rPr><w:sz w:val="20"/><w:szCs w:val="20"/><w:b w:val="0"/><w:bCs w:val="0"/></w:rPr><w:t xml:space="preserve">Gravel</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r><w:tr><w:trPr/><w:tc><w:tcPr><w:vAlign w:val="center"/><w:noWrap/></w:tcPr><w:p><w:pPr><w:spacing w:after="0"/></w:pPr><w:r><w:rPr><w:sz w:val="20"/><w:szCs w:val="20"/><w:b w:val="0"/><w:bCs w:val="0"/></w:rPr><w:t xml:space="preserve">Earthen</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r><w:tr><w:trPr/><w:tc><w:tcPr><w:vAlign w:val="center"/><w:noWrap/></w:tcPr><w:p><w:pPr><w:spacing w:after="0"/></w:pPr><w:r><w:rPr><w:sz w:val="20"/><w:szCs w:val="20"/><w:b w:val="0"/><w:bCs w:val="0"/></w:rPr><w:t xml:space="preserve">Other</w:t></w:r></w:p></w:tc><w:tc><w:tcPr><w:vAlign w:val="center"/><w:noWrap/></w:tcPr><w:p><w:pPr><w:spacing w:after="0"/></w:pPr><w:r><w:rPr><w:sz w:val="20"/><w:szCs w:val="20"/><w:b w:val="0"/><w:bCs w:val="0"/></w:rPr><w:t xml:space="preserve">0.00</w:t></w:r></w:p></w:tc><w:tc><w:tcPr><w:vAlign w:val="center"/><w:noWrap/></w:tcPr><w:p><w:pPr><w:spacing w:after="0"/></w:pPr><w:r><w:rPr><w:sz w:val="20"/><w:szCs w:val="20"/><w:b w:val="0"/><w:bCs w:val="0"/></w:rPr><w:t xml:space="preserve">0%</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0.00</w:t></w:r></w:p></w:tc><w:tc><w:tcPr><w:vAlign w:val="center"/><w:shd w:val="clear" w:fill="e2e8f0"/><w:noWrap/></w:tcPr><w:p><w:pPr><w:spacing w:after="0"/></w:pPr><w:r><w:rPr><w:sz w:val="20"/><w:szCs w:val="20"/><w:b w:val="1"/><w:bCs w:val="1"/></w:rPr><w:t xml:space="preserve">100%</w:t></w:r></w:p></w:tc></w:tr></w:tbl><w:p/><w:p><w:pPr><w:pStyle w:val="Heading1"/></w:pPr><w:bookmarkStart w:id="21" w:name="_Toc21"/><w:r><w:t>5. Vehicle Accessibility & Operational Implications</w:t></w:r><w:bookmarkEnd w:id="21"/></w:p><w:p><w:pPr><w:spacing w:after="80"/></w:pPr><w:r><w:rPr><w:sz w:val="22"/><w:szCs w:val="22"/></w:rPr><w:t xml:space="preserve">The road width analysis is critical for waste collection vehicle selection. With 0% of roads narrower than 4 meters, the dominant collection vehicle type must be lightweight and maneuverable:</w:t></w:r></w:p><w:p><w:pPr><w:spacing w:after="60"/><w:numPr><w:ilvl w:val="0"/><w:numId w:val="6"/></w:numPr></w:pPr><w:r><w:rPr><w:sz w:val="22"/><w:szCs w:val="22"/></w:rPr><w:t xml:space="preserve">< 4m (0.00 km): Electric rickshaws, tricycle garbage rickshaws, and manual push carts — primary door-to-door collection</w:t></w:r></w:p><w:p><w:pPr><w:spacing w:after="60"/><w:numPr><w:ilvl w:val="0"/><w:numId w:val="6"/></w:numPr></w:pPr><w:r><w:rPr><w:sz w:val="22"/><w:szCs w:val="22"/></w:rPr><w:t xml:space="preserve">4-6m (0.00 km): 3.3 CUM 4-compartment tipper trucks — secondary collection from collection points</w:t></w:r></w:p><w:p><w:pPr><w:spacing w:after="60"/><w:numPr><w:ilvl w:val="0"/><w:numId w:val="6"/></w:numPr></w:pPr><w:r><w:rPr><w:sz w:val="22"/><w:szCs w:val="22"/></w:rPr><w:t xml:space="preserve">6-10m (0.00 km): Standard compactor or bulk carrier — transfer point runs</w:t></w:r></w:p><w:p><w:pPr><w:spacing w:after="60"/><w:numPr><w:ilvl w:val="0"/><w:numId w:val="6"/></w:numPr></w:pPr><w:r><w:rPr><w:sz w:val="22"/><w:szCs w:val="22"/></w:rPr><w:t xml:space="preserve">> 10m (0.00 km): Full-size compactor trucks — route to transfer station at Ward 7, Gangahiti</w:t></w:r></w:p><w:p/><w:p><w:pPr/><w:r><w:rPr><w:b w:val="1"/><w:bCs w:val="1"/></w:rPr><w:t xml:space="preserve">Operational Requirements:</w:t></w:r></w:p><w:p><w:pPr><w:spacing w:after="60"/><w:numPr><w:ilvl w:val="0"/><w:numId w:val="6"/></w:numPr></w:pPr><w:r><w:rPr><w:sz w:val="22"/><w:szCs w:val="22"/></w:rPr><w:t xml:space="preserve">All collection vehicles must carry GPS trackers for real-time monitoring by KMC</w:t></w:r></w:p><w:p><w:pPr><w:spacing w:after="60"/><w:numPr><w:ilvl w:val="0"/><w:numId w:val="6"/></w:numPr></w:pPr><w:r><w:rPr><w:sz w:val="22"/><w:szCs w:val="22"/></w:rPr><w:t xml:space="preserve">4-compartment bins (Blue/Green/Yellow/Red) mandatory on all collection vehicles</w:t></w:r></w:p><w:p><w:pPr><w:spacing w:after="60"/><w:numPr><w:ilvl w:val="0"/><w:numId w:val="6"/></w:numPr></w:pPr><w:r><w:rPr><w:sz w:val="22"/><w:szCs w:val="22"/></w:rPr><w:t xml:space="preserve">Collection schedule must account for peak traffic hours in narrow lanes (typically 8-10 AM and 5-7 PM)</w:t></w:r></w:p><w:p><w:pPr><w:spacing w:after="60"/><w:numPr><w:ilvl w:val="0"/><w:numId w:val="6"/></w:numPr></w:pPr><w:r><w:rPr><w:sz w:val="22"/><w:szCs w:val="22"/></w:rPr><w:t xml:space="preserve">Vehicles must avoid roads in poor condition during monsoon season (June-September)</w:t></w:r></w:p><w:p><w:r><w:br w:type="page"/></w:r></w:p><w:p><w:pPr><w:spacing w:after="200"/></w:pPr><w:r><w:rPr><w:color w:val="92400e"/><w:sz w:val="28"/><w:szCs w:val="28"/><w:b w:val="1"/><w:bCs w:val="1"/><w:smallCaps w:val="0"/><w:caps w:val="1"/></w:rPr><w:t xml:space="preserve">MODULE: MISCELLANEOUS — TEMPLES, PARKS & PONDS</w:t></w:r></w:p><w:p><w:pPr><w:pStyle w:val="Heading1"/></w:pPr><w:bookmarkStart w:id="22" w:name="_Toc22"/><w:r><w:t>1. Introduction</w:t></w:r><w:bookmarkEnd w:id="22"/></w:p><w:p><w:pPr><w:spacing w:after="120"/></w:pPr><w:r><w:rPr><w:sz w:val="22"/><w:szCs w:val="22"/></w:rPr><w:t xml:space="preserve">In addition to household and commercial waste generators, Cluster 1 contains religious and heritage sites, public open spaces, and water bodies that require dedicated waste management attention. This module documents temples, parks, and ponds within the cluster, their waste generation characteristics, and the specific collection requirements that must be addressed by the waste management service contract.</w:t></w:r></w:p><w:p><w:pPr><w:pStyle w:val="Heading1"/></w:pPr><w:bookmarkStart w:id="23" w:name="_Toc23"/><w:r><w:t>2. Objectives</w:t></w:r><w:bookmarkEnd w:id="23"/></w:p><w:p><w:pPr><w:spacing w:after="60"/><w:numPr><w:ilvl w:val="0"/><w:numId w:val="6"/></w:numPr></w:pPr><w:r><w:rPr><w:sz w:val="22"/><w:szCs w:val="22"/></w:rPr><w:t xml:space="preserve">Identify and inventory all temples, parks, and ponds within Cluster 1</w:t></w:r></w:p><w:p><w:pPr><w:spacing w:after="60"/><w:numPr><w:ilvl w:val="0"/><w:numId w:val="6"/></w:numPr></w:pPr><w:r><w:rPr><w:sz w:val="22"/><w:szCs w:val="22"/></w:rPr><w:t xml:space="preserve">Assess waste generation characteristics and collection requirements for each site type</w:t></w:r></w:p><w:p><w:pPr><w:spacing w:after="60"/><w:numPr><w:ilvl w:val="0"/><w:numId w:val="6"/></w:numPr></w:pPr><w:r><w:rPr><w:sz w:val="22"/><w:szCs w:val="22"/></w:rPr><w:t xml:space="preserve">Define dedicated waste collection schedules and protocols for sensitive public spaces</w:t></w:r></w:p><w:p><w:pPr><w:spacing w:after="60"/><w:numPr><w:ilvl w:val="0"/><w:numId w:val="6"/></w:numPr></w:pPr><w:r><w:rPr><w:sz w:val="22"/><w:szCs w:val="22"/></w:rPr><w:t xml:space="preserve">Ensure compliance with religious and heritage site management standards</w:t></w:r></w:p><w:p><w:pPr><w:pStyle w:val="Heading1"/></w:pPr><w:bookmarkStart w:id="24" w:name="_Toc24"/><w:r><w:t>3. Parks</w:t></w:r><w:bookmarkEnd w:id="24"/></w:p><w:p><w:pPr/><w:r><w:rPr><w:sz w:val="22"/><w:szCs w:val="22"/></w:rPr><w:t xml:space="preserve">Cluster 1 does not contain dedicated municipal parks as large-scale green spaces. However, community gathering spaces, temple courtyards, and road medians serve as de facto public open spaces across all wards and require regular sweeping and collection.</w:t></w:r></w:p><w:p/><w:p><w:pPr><w:pStyle w:val="Heading1"/></w:pPr><w:bookmarkStart w:id="25" w:name="_Toc25"/><w:r><w:t>4. Ponds (Pokhari)</w:t></w:r><w:bookmarkEnd w:id="25"/></w:p><w:p><w:pPr/><w:r><w:rPr><w:sz w:val="22"/><w:szCs w:val="22"/></w:rPr><w:t xml:space="preserve">No registered ponds/pokhari identified in this cluster from uploaded data.</w:t></w:r></w:p><w:p/><w:p><w:pPr><w:pStyle w:val="Heading1"/></w:pPr><w:bookmarkStart w:id="26" w:name="_Toc26"/><w:r><w:t>5. Temples</w:t></w:r><w:bookmarkEnd w:id="26"/></w:p><w:p><w:pPr/><w:r><w:rPr><w:sz w:val="22"/><w:szCs w:val="22"/></w:rPr><w:t xml:space="preserve">No temple data uploaded for this cluster.</w:t></w:r></w:p><w:p/><w:p><w:pPr><w:pStyle w:val="Heading2"/></w:pPr><w:bookmarkStart w:id="27" w:name="_Toc27"/><w:r><w:t>5.2 Waste Generation Characteristics</w:t></w:r><w:bookmarkEnd w:id="27"/></w:p><w:p><w:pPr><w:spacing w:after="60"/><w:numPr><w:ilvl w:val="0"/><w:numId w:val="6"/></w:numPr></w:pPr><w:r><w:rPr><w:sz w:val="22"/><w:szCs w:val="22"/></w:rPr><w:t xml:space="preserve">Organic: flower offerings, food prasad, leaf wrappings — significant volume on festival days</w:t></w:r></w:p><w:p><w:pPr><w:spacing w:after="60"/><w:numPr><w:ilvl w:val="0"/><w:numId w:val="6"/></w:numPr></w:pPr><w:r><w:rPr><w:sz w:val="22"/><w:szCs w:val="22"/></w:rPr><w:t xml:space="preserve">Non-recyclable: incense ash, clay lamps (diyo), ritual materials — requires separate handling</w:t></w:r></w:p><w:p><w:pPr><w:spacing w:after="60"/><w:numPr><w:ilvl w:val="0"/><w:numId w:val="6"/></w:numPr></w:pPr><w:r><w:rPr><w:sz w:val="22"/><w:szCs w:val="22"/></w:rPr><w:t xml:space="preserve">Recyclable: water bottles, plastic packaging from visitors</w:t></w:r></w:p><w:p><w:pPr><w:spacing w:after="60"/><w:numPr><w:ilvl w:val="0"/><w:numId w:val="6"/></w:numPr></w:pPr><w:r><w:rPr><w:sz w:val="22"/><w:szCs w:val="22"/></w:rPr><w:t xml:space="preserve">Seasonal surges: major festivals (Dashain, Tihar, Shivaratri, Teej) generate 3-5x normal daily waste volume</w:t></w:r></w:p><w:p/><w:p><w:pPr><w:pStyle w:val="Heading2"/></w:pPr><w:bookmarkStart w:id="28" w:name="_Toc28"/><w:r><w:t>5.3 Collection Requirements</w:t></w:r><w:bookmarkEnd w:id="28"/></w:p><w:p><w:pPr><w:spacing w:after="60"/><w:numPr><w:ilvl w:val="0"/><w:numId w:val="6"/></w:numPr></w:pPr><w:r><w:rPr><w:sz w:val="22"/><w:szCs w:val="22"/></w:rPr><w:t xml:space="preserve">Dedicated early morning collection (before 7 AM) at temple sites on major festival days</w:t></w:r></w:p><w:p><w:pPr><w:spacing w:after="60"/><w:numPr><w:ilvl w:val="0"/><w:numId w:val="6"/></w:numPr></w:pPr><w:r><w:rPr><w:sz w:val="22"/><w:szCs w:val="22"/></w:rPr><w:t xml:space="preserve">Segregated bins (minimum 2 compartments: organic and recyclable) at all public spaces</w:t></w:r></w:p><w:p><w:pPr><w:spacing w:after="60"/><w:numPr><w:ilvl w:val="0"/><w:numId w:val="6"/></w:numPr></w:pPr><w:r><w:rPr><w:sz w:val="22"/><w:szCs w:val="22"/></w:rPr><w:t xml:space="preserve">All temple sites must receive collection service at minimum once daily</w:t></w:r></w:p><w:p><w:pPr><w:spacing w:after="60"/><w:numPr><w:ilvl w:val="0"/><w:numId w:val="6"/></w:numPr></w:pPr><w:r><w:rPr><w:sz w:val="22"/><w:szCs w:val="22"/></w:rPr><w:t xml:space="preserve">During major festivals, twice-daily collection is mandatory</w:t></w:r></w:p><w:p><w:pPr><w:spacing w:after="60"/><w:numPr><w:ilvl w:val="0"/><w:numId w:val="6"/></w:numPr></w:pPr><w:r><w:rPr><w:sz w:val="22"/><w:szCs w:val="22"/></w:rPr><w:t xml:space="preserve">Service provider must maintain a temple collection schedule and submit monthly compliance records</w:t></w:r></w:p><w:p><w:pPr><w:spacing w:after="60"/><w:numPr><w:ilvl w:val="0"/><w:numId w:val="6"/></w:numPr></w:pPr><w:r><w:rPr><w:sz w:val="22"/><w:szCs w:val="22"/></w:rPr><w:t xml:space="preserve">Buffer zone enforcement (50m) around water bodies — no waste disposal permitted</w:t></w:r></w:p><w:p/><w:p><w:pPr><w:pStyle w:val="Heading1"/></w:pPr><w:bookmarkStart w:id="29" w:name="_Toc29"/><w:r><w:t>6. Conclusion</w:t></w:r><w:bookmarkEnd w:id="29"/></w:p><w:p><w:pPr/><w:r><w:rPr><w:sz w:val="22"/><w:szCs w:val="22"/></w:rPr><w:t xml:space="preserve">The Miscellaneous module highlights the additional complexity of waste management in Cluster 1 arising from 0 religious sites, 0 public spaces, and 0 water bodies. These sites require dedicated collection protocols that differ from standard household and commercial collection operations. Key priorities are: (1) dedicated early morning collection at temple sites; (2) buffer zone enforcement around water bodies; (3) festival surge planning for 3-5x collection capacity during major religious events; (4) regular sweeping of public spaces and road medians.</w:t></w:r></w:p><w:sectPr><w:footerReference w:type="default" r:id="rId7"/><w:pgSz w:orient="portrait" w:w="11905.511811023622" w:h="16837.79527559055"/><w:pgMar w:top="1200" w:right="1000" w:bottom="1000" w:left="100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color w:val="94a3b8"/>
        <w:sz w:val="16"/>
        <w:szCs w:val="16"/>
        <w:i w:val="1"/>
        <w:iCs w:val="1"/>
      </w:rPr>
      <w:t xml:space="preserve">Cluster 1 — KMC SWM Comprehensive Report  |  STRICTLY CONFIDENTIAL  |  Page {PAGE} of {NUMPAGES}</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nsid w:val="074D9CED"/>
    <w:multiLevelType w:val="hybridMultilevel"/>
    <w:lvl w:ilvl="0">
      <w:start w:val="1"/>
      <w:numFmt w:val="bullet"/>
      <w:suff w:val="tab"/>
      <w:lvlText w:val=""/>
      <w:lvlJc w:val="left"/>
      <w:pPr>
        <w:tabs>
          <w:tab w:val="num" w:pos="720"/>
        </w:tabs>
        <w:ind w:left="720" w:hanging="360"/>
      </w:pPr>
      <w:rPr>
        <w:rFonts w:ascii="Symbol" w:hAnsi="Symbol" w:cs="Symbol" w:hint="default"/>
      </w:rPr>
    </w:lvl>
    <w:lvl w:ilvl="1">
      <w:start w:val="1"/>
      <w:numFmt w:val="bullet"/>
      <w:suff w:val="tab"/>
      <w:lvlText w:val="o"/>
      <w:lvlJc w:val="left"/>
      <w:pPr>
        <w:tabs>
          <w:tab w:val="num" w:pos="1440"/>
        </w:tabs>
        <w:ind w:left="1440" w:hanging="360"/>
      </w:pPr>
      <w:rPr>
        <w:rFonts w:ascii="Courier New" w:hAnsi="Courier New" w:cs="Courier New" w:hint="default"/>
      </w:rPr>
    </w:lvl>
    <w:lvl w:ilvl="2">
      <w:start w:val="1"/>
      <w:numFmt w:val="bullet"/>
      <w:suff w:val="tab"/>
      <w:lvlText w:val=""/>
      <w:lvlJc w:val="left"/>
      <w:pPr>
        <w:tabs>
          <w:tab w:val="num" w:pos="2160"/>
        </w:tabs>
        <w:ind w:left="2160" w:hanging="360"/>
      </w:pPr>
      <w:rPr>
        <w:rFonts w:ascii="Wingdings" w:hAnsi="Wingdings" w:cs="Wingdings" w:hint="default"/>
      </w:rPr>
    </w:lvl>
    <w:lvl w:ilvl="3">
      <w:start w:val="1"/>
      <w:numFmt w:val="bullet"/>
      <w:suff w:val="tab"/>
      <w:lvlText w:val=""/>
      <w:lvlJc w:val="left"/>
      <w:pPr>
        <w:tabs>
          <w:tab w:val="num" w:pos="2880"/>
        </w:tabs>
        <w:ind w:left="2880" w:hanging="360"/>
      </w:pPr>
      <w:rPr>
        <w:rFonts w:ascii="Symbol" w:hAnsi="Symbol" w:cs="Symbol" w:hint="default"/>
      </w:rPr>
    </w:lvl>
    <w:lvl w:ilvl="4">
      <w:start w:val="1"/>
      <w:numFmt w:val="bullet"/>
      <w:suff w:val="tab"/>
      <w:lvlText w:val="o"/>
      <w:lvlJc w:val="left"/>
      <w:pPr>
        <w:tabs>
          <w:tab w:val="num" w:pos="3600"/>
        </w:tabs>
        <w:ind w:left="3600" w:hanging="360"/>
      </w:pPr>
      <w:rPr>
        <w:rFonts w:ascii="Courier New" w:hAnsi="Courier New" w:cs="Courier New" w:hint="default"/>
      </w:rPr>
    </w:lvl>
    <w:lvl w:ilvl="5">
      <w:start w:val="1"/>
      <w:numFmt w:val="bullet"/>
      <w:suff w:val="tab"/>
      <w:lvlText w:val=""/>
      <w:lvlJc w:val="left"/>
      <w:pPr>
        <w:tabs>
          <w:tab w:val="num" w:pos="4320"/>
        </w:tabs>
        <w:ind w:left="4320" w:hanging="360"/>
      </w:pPr>
      <w:rPr>
        <w:rFonts w:ascii="Wingdings" w:hAnsi="Wingdings" w:cs="Wingdings" w:hint="default"/>
      </w:rPr>
    </w:lvl>
    <w:lvl w:ilvl="6">
      <w:start w:val="1"/>
      <w:numFmt w:val="bullet"/>
      <w:suff w:val="tab"/>
      <w:lvlText w:val=""/>
      <w:lvlJc w:val="left"/>
      <w:pPr>
        <w:tabs>
          <w:tab w:val="num" w:pos="5040"/>
        </w:tabs>
        <w:ind w:left="5040" w:hanging="360"/>
      </w:pPr>
      <w:rPr>
        <w:rFonts w:ascii="Symbol" w:hAnsi="Symbol" w:cs="Symbol" w:hint="default"/>
      </w:rPr>
    </w:lvl>
    <w:lvl w:ilvl="7">
      <w:start w:val="1"/>
      <w:numFmt w:val="bullet"/>
      <w:suff w:val="tab"/>
      <w:lvlText w:val="o"/>
      <w:lvlJc w:val="left"/>
      <w:pPr>
        <w:tabs>
          <w:tab w:val="num" w:pos="5760"/>
        </w:tabs>
        <w:ind w:left="5760" w:hanging="360"/>
      </w:pPr>
      <w:rPr>
        <w:rFonts w:ascii="Courier New" w:hAnsi="Courier New" w:cs="Courier New" w:hint="default"/>
      </w:rPr>
    </w:lvl>
    <w:lvl w:ilvl="8">
      <w:start w:val="1"/>
      <w:numFmt w:val="bullet"/>
      <w:suff w:val="tab"/>
      <w:lvlText w:val=""/>
      <w:lvlJc w:val="left"/>
      <w:pPr>
        <w:tabs>
          <w:tab w:val="num" w:pos="6480"/>
        </w:tabs>
        <w:ind w:left="6480" w:hanging="360"/>
      </w:pPr>
      <w:rPr>
        <w:rFonts w:ascii="Wingdings" w:hAnsi="Wingdings" w:cs="Wingdings" w:hint="default"/>
      </w:rPr>
    </w:lvl>
  </w:abstractNum>
  <w:num w:numId="6">
    <w:abstractNumId w:val="6"/>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eastAsia="x-none" w:bidi="x-none"/>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Arial" w:cs="Calibri"/>
        <w:color w:val="000000"/>
        <w:sz w:val="22"/>
        <w:szCs w:val="22"/>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spacing w:before="300" w:after="200"/>
    </w:pPr>
    <w:rPr>
      <w:color w:val="1e3a5f"/>
      <w:sz w:val="36"/>
      <w:szCs w:val="36"/>
      <w:b w:val="1"/>
      <w:bCs w:val="1"/>
    </w:rPr>
  </w:style>
  <w:style w:type="paragraph" w:styleId="Heading2">
    <w:link w:val="Heading2Char"/>
    <w:name w:val="heading 2"/>
    <w:basedOn w:val="Normal"/>
    <w:pPr>
      <w:spacing w:before="200" w:after="120"/>
    </w:pPr>
    <w:rPr>
      <w:color w:val="2563eb"/>
      <w:sz w:val="28"/>
      <w:szCs w:val="28"/>
      <w:b w:val="1"/>
      <w:bCs w:val="1"/>
    </w:rPr>
  </w:style>
  <w:style w:type="paragraph" w:styleId="Heading3">
    <w:link w:val="Heading3Char"/>
    <w:name w:val="heading 3"/>
    <w:basedOn w:val="Normal"/>
    <w:pPr>
      <w:spacing w:before="150" w:after="100"/>
    </w:pPr>
    <w:rPr>
      <w:color w:val="374151"/>
      <w:sz w:val="24"/>
      <w:szCs w:val="24"/>
      <w:b w:val="1"/>
      <w:bCs w:val="1"/>
    </w:rPr>
  </w:style>
  <w:style w:type="table" w:customStyle="1" w:styleId="MainTable">
    <w:name w:val="MainTable"/>
    <w:uiPriority w:val="99"/>
    <w:tblPr>
      <w:tblW w:w="5000" w:type="pct"/>
      <w:tblLayout w:type="autofit"/>
      <w:tblCellMar>
        <w:top w:w="60" w:type="dxa"/>
        <w:left w:w="60" w:type="dxa"/>
        <w:right w:w="60" w:type="dxa"/>
        <w:bottom w:w="60" w:type="dxa"/>
      </w:tblCellMar>
      <w:tblBorders>
        <w:top w:val="single" w:sz="4" w:color="cccccc"/>
        <w:left w:val="single" w:sz="4" w:color="cccccc"/>
        <w:right w:val="single" w:sz="4" w:color="cccccc"/>
        <w:bottom w:val="single" w:sz="4" w:color="cccccc"/>
        <w:insideH w:val="single" w:sz="4" w:color="cccccc"/>
        <w:insideV w:val="single" w:sz="4" w:color="cccccc"/>
      </w:tblBorders>
    </w:tblPr>
    <w:tblStylePr w:type="firstRow">
      <w:tcPr>
        <w:tcPr>
          <w:shd w:val="clear" w:fill="1e3a5f"/>
        </w:tcPr>
      </w:tcPr>
    </w:tblStylePr>
  </w:style>
  <w:style w:type="table" w:customStyle="1" w:styleId="NarrowTable">
    <w:name w:val="NarrowTable"/>
    <w:uiPriority w:val="99"/>
    <w:tblPr>
      <w:tblW w:w="5000" w:type="pct"/>
      <w:tblLayout w:type="autofit"/>
      <w:tblCellMar>
        <w:top w:w="60" w:type="dxa"/>
        <w:left w:w="60" w:type="dxa"/>
        <w:right w:w="60" w:type="dxa"/>
        <w:bottom w:w="60" w:type="dxa"/>
      </w:tblCellMar>
      <w:tblBorders>
        <w:top w:val="single" w:sz="4" w:color="cccccc"/>
        <w:left w:val="single" w:sz="4" w:color="cccccc"/>
        <w:right w:val="single" w:sz="4" w:color="cccccc"/>
        <w:bottom w:val="single" w:sz="4" w:color="cccccc"/>
        <w:insideH w:val="single" w:sz="4" w:color="cccccc"/>
        <w:insideV w:val="single" w:sz="4" w:color="cccccc"/>
      </w:tblBorders>
    </w:tblPr>
    <w:tblStylePr w:type="firstRow">
      <w:tcPr>
        <w:tcPr>
          <w:shd w:val="clear" w:fill="1e3a5f"/>
        </w:tcPr>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2026-03-07T05:20:07+01:00</dcterms:created>
  <dcterms:modified xsi:type="dcterms:W3CDTF">2026-03-07T05:20:07+01:00</dcterms:modified>
</cp:coreProperties>
</file>

<file path=docProps/custom.xml><?xml version="1.0" encoding="utf-8"?>
<Properties xmlns="http://schemas.openxmlformats.org/officeDocument/2006/custom-properties" xmlns:vt="http://schemas.openxmlformats.org/officeDocument/2006/docPropsVTypes"/>
</file>